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pPr w:leftFromText="180" w:rightFromText="180" w:vertAnchor="page" w:horzAnchor="margin" w:tblpY="2236"/>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9576"/>
      </w:tblGrid>
      <w:tr w:rsidR="005D1A32" w14:paraId="41819E86" w14:textId="77777777" w:rsidTr="00FA73D4">
        <w:tc>
          <w:tcPr>
            <w:tcW w:w="9576" w:type="dxa"/>
            <w:tcBorders>
              <w:top w:val="single" w:sz="4" w:space="0" w:color="auto"/>
              <w:left w:val="nil"/>
              <w:bottom w:val="single" w:sz="4" w:space="0" w:color="auto"/>
              <w:right w:val="nil"/>
            </w:tcBorders>
          </w:tcPr>
          <w:p w14:paraId="54124C39" w14:textId="77777777" w:rsidR="00C53FE3" w:rsidRDefault="00C3783B" w:rsidP="006951E9">
            <w:pPr>
              <w:ind w:left="720" w:hanging="720"/>
              <w:jc w:val="center"/>
              <w:rPr>
                <w:b/>
              </w:rPr>
            </w:pPr>
            <w:r>
              <w:rPr>
                <w:b/>
              </w:rPr>
              <w:t>UN</w:t>
            </w:r>
            <w:r w:rsidR="00C53FE3">
              <w:rPr>
                <w:b/>
              </w:rPr>
              <w:t>ITED STATES DISTRICT COURT</w:t>
            </w:r>
          </w:p>
          <w:p w14:paraId="5D02FBF9" w14:textId="77777777" w:rsidR="00C53FE3" w:rsidRDefault="00C53FE3" w:rsidP="00C53FE3">
            <w:pPr>
              <w:spacing w:line="240" w:lineRule="auto"/>
              <w:jc w:val="center"/>
              <w:rPr>
                <w:b/>
              </w:rPr>
            </w:pPr>
            <w:r>
              <w:rPr>
                <w:b/>
              </w:rPr>
              <w:t>FOR THE DISTRICT OF MOOT</w:t>
            </w:r>
          </w:p>
          <w:p w14:paraId="5689746B" w14:textId="77777777" w:rsidR="00C53FE3" w:rsidRDefault="00C53FE3" w:rsidP="00C53FE3">
            <w:pPr>
              <w:tabs>
                <w:tab w:val="left" w:pos="1888"/>
                <w:tab w:val="center" w:pos="4680"/>
              </w:tabs>
              <w:spacing w:line="240" w:lineRule="auto"/>
              <w:jc w:val="both"/>
            </w:pPr>
          </w:p>
          <w:p w14:paraId="72441B76" w14:textId="77777777" w:rsidR="00C53FE3" w:rsidRDefault="00C3783B" w:rsidP="00C53FE3">
            <w:pPr>
              <w:tabs>
                <w:tab w:val="left" w:pos="1888"/>
                <w:tab w:val="center" w:pos="4680"/>
              </w:tabs>
              <w:spacing w:line="240" w:lineRule="auto"/>
            </w:pPr>
            <w:r>
              <w:t>OGS TV, Inc</w:t>
            </w:r>
            <w:r w:rsidR="00C53FE3">
              <w:t xml:space="preserve">.,               </w:t>
            </w:r>
            <w:r w:rsidR="00C53FE3">
              <w:tab/>
              <w:t>)</w:t>
            </w:r>
            <w:r w:rsidR="00C53FE3">
              <w:tab/>
            </w:r>
          </w:p>
          <w:p w14:paraId="39DE81F7" w14:textId="77777777" w:rsidR="00C53FE3" w:rsidRDefault="00C53FE3" w:rsidP="00C53FE3">
            <w:pPr>
              <w:tabs>
                <w:tab w:val="left" w:pos="1888"/>
                <w:tab w:val="center" w:pos="4680"/>
              </w:tabs>
              <w:spacing w:line="240" w:lineRule="auto"/>
            </w:pPr>
            <w:r>
              <w:tab/>
            </w:r>
            <w:r>
              <w:tab/>
              <w:t>)</w:t>
            </w:r>
          </w:p>
          <w:p w14:paraId="282CC390" w14:textId="77777777" w:rsidR="00C53FE3" w:rsidRDefault="00C53FE3" w:rsidP="00C53FE3">
            <w:pPr>
              <w:tabs>
                <w:tab w:val="left" w:pos="1888"/>
                <w:tab w:val="center" w:pos="4680"/>
              </w:tabs>
              <w:spacing w:line="240" w:lineRule="auto"/>
            </w:pPr>
            <w:r>
              <w:tab/>
              <w:t>Plaintiff,</w:t>
            </w:r>
            <w:r>
              <w:tab/>
              <w:t>)</w:t>
            </w:r>
          </w:p>
          <w:p w14:paraId="58573531" w14:textId="77777777" w:rsidR="00C53FE3" w:rsidRDefault="00C53FE3" w:rsidP="00C53FE3">
            <w:pPr>
              <w:tabs>
                <w:tab w:val="left" w:pos="1888"/>
                <w:tab w:val="center" w:pos="4680"/>
              </w:tabs>
              <w:spacing w:line="240" w:lineRule="auto"/>
            </w:pPr>
            <w:r>
              <w:tab/>
            </w:r>
            <w:r>
              <w:tab/>
              <w:t>)</w:t>
            </w:r>
            <w:r>
              <w:tab/>
            </w:r>
            <w:r>
              <w:tab/>
              <w:t>Court File No. 27-CV-12-1234</w:t>
            </w:r>
          </w:p>
          <w:p w14:paraId="24A07663" w14:textId="77777777" w:rsidR="00C53FE3" w:rsidRDefault="00C53FE3" w:rsidP="00C53FE3">
            <w:pPr>
              <w:tabs>
                <w:tab w:val="left" w:pos="720"/>
                <w:tab w:val="center" w:pos="4680"/>
              </w:tabs>
              <w:spacing w:line="240" w:lineRule="auto"/>
            </w:pPr>
            <w:r>
              <w:tab/>
              <w:t>v.</w:t>
            </w:r>
            <w:r>
              <w:tab/>
              <w:t>)</w:t>
            </w:r>
          </w:p>
          <w:p w14:paraId="3AEA88C9" w14:textId="77777777" w:rsidR="00C53FE3" w:rsidRDefault="00C53FE3" w:rsidP="00C53FE3">
            <w:pPr>
              <w:tabs>
                <w:tab w:val="left" w:pos="720"/>
                <w:tab w:val="center" w:pos="4680"/>
              </w:tabs>
              <w:spacing w:line="240" w:lineRule="auto"/>
            </w:pPr>
            <w:r>
              <w:tab/>
            </w:r>
            <w:r>
              <w:tab/>
              <w:t xml:space="preserve">) </w:t>
            </w:r>
          </w:p>
          <w:p w14:paraId="528E522C" w14:textId="77777777" w:rsidR="00C53FE3" w:rsidRPr="00C53FE3" w:rsidRDefault="00C3783B" w:rsidP="00C53FE3">
            <w:pPr>
              <w:tabs>
                <w:tab w:val="left" w:pos="720"/>
                <w:tab w:val="center" w:pos="4680"/>
              </w:tabs>
              <w:spacing w:line="240" w:lineRule="auto"/>
              <w:rPr>
                <w:b/>
              </w:rPr>
            </w:pPr>
            <w:r>
              <w:t>Elizabeth Lime and Tiny TV, Inc.</w:t>
            </w:r>
            <w:r w:rsidR="00C53FE3">
              <w:tab/>
              <w:t>)</w:t>
            </w:r>
            <w:r w:rsidR="00C53FE3">
              <w:tab/>
            </w:r>
            <w:r w:rsidR="00C53FE3">
              <w:tab/>
            </w:r>
            <w:r w:rsidR="00C53FE3">
              <w:rPr>
                <w:b/>
              </w:rPr>
              <w:t>PLAINTIFF’S MEMORANDUM</w:t>
            </w:r>
          </w:p>
          <w:p w14:paraId="38F342F1" w14:textId="77777777" w:rsidR="00C53FE3" w:rsidRDefault="00C3783B" w:rsidP="00C53FE3">
            <w:pPr>
              <w:tabs>
                <w:tab w:val="left" w:pos="720"/>
                <w:tab w:val="center" w:pos="4680"/>
              </w:tabs>
              <w:spacing w:line="240" w:lineRule="auto"/>
            </w:pPr>
            <w:r>
              <w:t xml:space="preserve">                 </w:t>
            </w:r>
            <w:r w:rsidR="00C53FE3">
              <w:tab/>
              <w:t>)</w:t>
            </w:r>
            <w:r w:rsidR="00C53FE3">
              <w:tab/>
            </w:r>
            <w:r w:rsidR="00C53FE3">
              <w:tab/>
            </w:r>
            <w:r w:rsidR="00C53FE3">
              <w:rPr>
                <w:b/>
              </w:rPr>
              <w:t>OPPOSING DEFENDANTS’</w:t>
            </w:r>
          </w:p>
          <w:p w14:paraId="675BF309" w14:textId="77777777" w:rsidR="00C53FE3" w:rsidRPr="00C53FE3" w:rsidRDefault="00C53FE3" w:rsidP="00C53FE3">
            <w:pPr>
              <w:tabs>
                <w:tab w:val="left" w:pos="1890"/>
                <w:tab w:val="center" w:pos="4680"/>
              </w:tabs>
              <w:spacing w:line="240" w:lineRule="auto"/>
              <w:rPr>
                <w:b/>
              </w:rPr>
            </w:pPr>
            <w:r>
              <w:tab/>
              <w:t>Defendants.</w:t>
            </w:r>
            <w:r>
              <w:tab/>
              <w:t>)</w:t>
            </w:r>
            <w:r>
              <w:tab/>
            </w:r>
            <w:r>
              <w:tab/>
            </w:r>
            <w:r>
              <w:rPr>
                <w:b/>
              </w:rPr>
              <w:t>MOTION TO DISMISS</w:t>
            </w:r>
          </w:p>
          <w:p w14:paraId="4D879827" w14:textId="77777777" w:rsidR="00C53FE3" w:rsidRDefault="00C53FE3" w:rsidP="00C53FE3">
            <w:pPr>
              <w:tabs>
                <w:tab w:val="center" w:pos="4680"/>
                <w:tab w:val="left" w:pos="5774"/>
              </w:tabs>
              <w:spacing w:line="240" w:lineRule="auto"/>
            </w:pPr>
            <w:r>
              <w:tab/>
              <w:t>)</w:t>
            </w:r>
            <w:r>
              <w:tab/>
            </w:r>
          </w:p>
          <w:p w14:paraId="65E501FB" w14:textId="77777777" w:rsidR="00C53FE3" w:rsidRDefault="00C53FE3" w:rsidP="00C53FE3">
            <w:pPr>
              <w:spacing w:line="240" w:lineRule="auto"/>
              <w:jc w:val="center"/>
            </w:pPr>
            <w:r>
              <w:t>)</w:t>
            </w:r>
          </w:p>
          <w:p w14:paraId="1D89F704" w14:textId="77777777" w:rsidR="00C53FE3" w:rsidRDefault="00C53FE3" w:rsidP="00C53FE3">
            <w:pPr>
              <w:spacing w:line="240" w:lineRule="auto"/>
              <w:jc w:val="center"/>
            </w:pPr>
            <w:r>
              <w:t>)</w:t>
            </w:r>
          </w:p>
          <w:p w14:paraId="50D61F75" w14:textId="77777777" w:rsidR="007D3466" w:rsidRDefault="007D3466" w:rsidP="00FA73D4">
            <w:pPr>
              <w:spacing w:line="240" w:lineRule="auto"/>
              <w:jc w:val="center"/>
              <w:rPr>
                <w:rFonts w:eastAsia="Calibri"/>
                <w:b/>
              </w:rPr>
            </w:pPr>
          </w:p>
        </w:tc>
      </w:tr>
    </w:tbl>
    <w:p w14:paraId="24AB5E69" w14:textId="77777777" w:rsidR="00C3783B" w:rsidRDefault="00C3783B" w:rsidP="00661F43">
      <w:pPr>
        <w:jc w:val="center"/>
        <w:rPr>
          <w:b/>
          <w:u w:val="single"/>
        </w:rPr>
      </w:pPr>
    </w:p>
    <w:p w14:paraId="5D51B2EA" w14:textId="77777777" w:rsidR="00A829B8" w:rsidRDefault="00A829B8" w:rsidP="00661F43">
      <w:pPr>
        <w:jc w:val="center"/>
        <w:rPr>
          <w:b/>
          <w:u w:val="single"/>
        </w:rPr>
      </w:pPr>
    </w:p>
    <w:p w14:paraId="2249B3DF" w14:textId="77777777" w:rsidR="005D1A32" w:rsidRPr="000D109D" w:rsidRDefault="005D1A32" w:rsidP="00661F43">
      <w:pPr>
        <w:jc w:val="center"/>
        <w:rPr>
          <w:b/>
          <w:u w:val="single"/>
        </w:rPr>
      </w:pPr>
      <w:r w:rsidRPr="000D109D">
        <w:rPr>
          <w:b/>
          <w:u w:val="single"/>
        </w:rPr>
        <w:t>INTRODUCTION</w:t>
      </w:r>
    </w:p>
    <w:p w14:paraId="008624F8" w14:textId="77777777" w:rsidR="003826D9" w:rsidRDefault="005D1A32" w:rsidP="005D1A32">
      <w:pPr>
        <w:jc w:val="both"/>
        <w:rPr>
          <w:i/>
        </w:rPr>
      </w:pPr>
      <w:r>
        <w:tab/>
      </w:r>
      <w:r w:rsidR="007D3466">
        <w:t>Plai</w:t>
      </w:r>
      <w:r w:rsidR="00116255">
        <w:t>ntiff, OGS TV, Inc.</w:t>
      </w:r>
      <w:r w:rsidR="007D3466">
        <w:t xml:space="preserve"> submits this Memorandum in </w:t>
      </w:r>
      <w:r w:rsidR="00116255">
        <w:t>opposition Defendants’</w:t>
      </w:r>
      <w:r>
        <w:t xml:space="preserve"> </w:t>
      </w:r>
      <w:r w:rsidR="00380AAC">
        <w:t xml:space="preserve">Motion to Dismiss OGS’ Complaint under Federal Rule of Civil Procedure 12(b)(6). OGS </w:t>
      </w:r>
      <w:r>
        <w:t>is a TV production company that has suffered loss of profit due to copyright infringemen</w:t>
      </w:r>
      <w:r w:rsidR="002A7B33">
        <w:t>t by</w:t>
      </w:r>
      <w:r w:rsidR="002F45DC">
        <w:t xml:space="preserve"> Defendant</w:t>
      </w:r>
      <w:r>
        <w:t>s</w:t>
      </w:r>
      <w:r w:rsidR="002A7B33">
        <w:t>’</w:t>
      </w:r>
      <w:r>
        <w:t xml:space="preserve"> </w:t>
      </w:r>
      <w:r w:rsidR="00D07913">
        <w:t>co</w:t>
      </w:r>
      <w:r>
        <w:t>mmercial use of a screenplay that belongs to OGS under the wor</w:t>
      </w:r>
      <w:r w:rsidR="00E20BD6">
        <w:t>k made for hire doctrine codified into law</w:t>
      </w:r>
      <w:r>
        <w:t xml:space="preserve"> by Congress in the Co</w:t>
      </w:r>
      <w:r w:rsidR="00890E4B">
        <w:t xml:space="preserve">pyright Act of 1976. </w:t>
      </w:r>
      <w:r w:rsidR="009C157D">
        <w:t>17 U.S.C.</w:t>
      </w:r>
      <w:r w:rsidR="00890E4B">
        <w:t xml:space="preserve"> § 101 (2006)</w:t>
      </w:r>
      <w:r>
        <w:t xml:space="preserve">. The statute stipulates that in order for a work by an independent contractor to be considered “made for hire”, the parties must “expressly agree in a written instrument” that it is made for hire. </w:t>
      </w:r>
      <w:r>
        <w:rPr>
          <w:i/>
        </w:rPr>
        <w:t xml:space="preserve">Id. </w:t>
      </w:r>
    </w:p>
    <w:p w14:paraId="3544DEFD" w14:textId="77777777" w:rsidR="005D1A32" w:rsidRPr="00A93241" w:rsidRDefault="005D1A32" w:rsidP="003826D9">
      <w:pPr>
        <w:ind w:firstLine="720"/>
        <w:jc w:val="both"/>
      </w:pPr>
      <w:r>
        <w:t xml:space="preserve">OGS </w:t>
      </w:r>
      <w:r w:rsidR="002F45DC">
        <w:t>submits that its C</w:t>
      </w:r>
      <w:r>
        <w:t xml:space="preserve">omplaint alleges a sufficient legal claim under the Copyright Act, specifically that the screenplay belongs to OGS because the parties </w:t>
      </w:r>
      <w:r w:rsidR="00E73DF2">
        <w:t>satisfied the requirements of the Act by signing</w:t>
      </w:r>
      <w:r>
        <w:t xml:space="preserve"> a written instrument stating that the work w</w:t>
      </w:r>
      <w:r w:rsidR="00E73DF2">
        <w:t>as made for hire</w:t>
      </w:r>
      <w:r>
        <w:t xml:space="preserve">. This interpretation is supported by a host of arguments, including: the plain language of the statute, </w:t>
      </w:r>
      <w:r>
        <w:lastRenderedPageBreak/>
        <w:t>canons of statutory interpretation, legislative history, public policy, case law, and the facts stipulated below. Overall, the presence of strong factual and legal arguments for OGS demands judicial resolution in favor of the Plain</w:t>
      </w:r>
      <w:r w:rsidR="007A3EA0">
        <w:t>tiff by denying this M</w:t>
      </w:r>
      <w:r>
        <w:t>otion.</w:t>
      </w:r>
    </w:p>
    <w:p w14:paraId="2E2B5FC9" w14:textId="77777777" w:rsidR="005D1A32" w:rsidRDefault="005D1A32" w:rsidP="005D1A32">
      <w:pPr>
        <w:jc w:val="center"/>
        <w:rPr>
          <w:b/>
          <w:u w:val="single"/>
        </w:rPr>
      </w:pPr>
      <w:r>
        <w:rPr>
          <w:b/>
          <w:u w:val="single"/>
        </w:rPr>
        <w:t>FACTS</w:t>
      </w:r>
    </w:p>
    <w:p w14:paraId="5106791F" w14:textId="77777777" w:rsidR="005D1A32" w:rsidRPr="005662EE" w:rsidRDefault="005D1A32" w:rsidP="005D1A32">
      <w:pPr>
        <w:jc w:val="both"/>
      </w:pPr>
      <w:r>
        <w:tab/>
        <w:t>On March 27, 2010, OGS representative Dave Nelson specia</w:t>
      </w:r>
      <w:r w:rsidR="008F4E08">
        <w:t>lly commissioned Defendant</w:t>
      </w:r>
      <w:r w:rsidR="007F31E7">
        <w:t xml:space="preserve"> Lime</w:t>
      </w:r>
      <w:r w:rsidR="008F4E08">
        <w:t xml:space="preserve"> </w:t>
      </w:r>
      <w:r>
        <w:t xml:space="preserve">to write a screen play for OGS’s original TV series </w:t>
      </w:r>
      <w:r>
        <w:rPr>
          <w:i/>
        </w:rPr>
        <w:t>Lawless Love</w:t>
      </w:r>
      <w:r>
        <w:t>. (</w:t>
      </w:r>
      <w:proofErr w:type="spellStart"/>
      <w:r w:rsidR="007F31E7">
        <w:t>Compl</w:t>
      </w:r>
      <w:proofErr w:type="spellEnd"/>
      <w:r w:rsidR="007F31E7">
        <w:t>.</w:t>
      </w:r>
      <w:r>
        <w:t xml:space="preserve"> </w:t>
      </w:r>
      <w:r w:rsidRPr="00812300">
        <w:rPr>
          <w:b/>
          <w:bCs/>
          <w:color w:val="000000"/>
          <w:szCs w:val="20"/>
          <w:shd w:val="clear" w:color="auto" w:fill="FFFFFF"/>
        </w:rPr>
        <w:t>¶</w:t>
      </w:r>
      <w:r w:rsidR="002F45DC">
        <w:rPr>
          <w:b/>
          <w:bCs/>
          <w:color w:val="000000"/>
          <w:szCs w:val="20"/>
          <w:shd w:val="clear" w:color="auto" w:fill="FFFFFF"/>
        </w:rPr>
        <w:t xml:space="preserve"> </w:t>
      </w:r>
      <w:r w:rsidR="002F45DC">
        <w:t>5.)</w:t>
      </w:r>
      <w:r w:rsidRPr="00812300">
        <w:t xml:space="preserve"> </w:t>
      </w:r>
      <w:r>
        <w:t xml:space="preserve">The oral agreement made at that meeting constituted a binding contract with Lime agreeing to prepare a screenplay in exchange for $6,000, and with the </w:t>
      </w:r>
      <w:r>
        <w:rPr>
          <w:i/>
        </w:rPr>
        <w:t>specific condition</w:t>
      </w:r>
      <w:r>
        <w:t xml:space="preserve"> that the screenplay would be considered a work made for hire for purposes of authorship. (</w:t>
      </w:r>
      <w:r>
        <w:rPr>
          <w:i/>
        </w:rPr>
        <w:t>Id.</w:t>
      </w:r>
      <w:r w:rsidRPr="00812300">
        <w:rPr>
          <w:b/>
          <w:bCs/>
          <w:color w:val="000000"/>
          <w:szCs w:val="20"/>
          <w:shd w:val="clear" w:color="auto" w:fill="FFFFFF"/>
        </w:rPr>
        <w:t xml:space="preserve"> ¶</w:t>
      </w:r>
      <w:r w:rsidR="002F45DC" w:rsidRPr="00812300">
        <w:rPr>
          <w:b/>
          <w:bCs/>
          <w:color w:val="000000"/>
          <w:szCs w:val="20"/>
          <w:shd w:val="clear" w:color="auto" w:fill="FFFFFF"/>
        </w:rPr>
        <w:t>¶</w:t>
      </w:r>
      <w:r w:rsidR="002F45DC">
        <w:rPr>
          <w:b/>
          <w:bCs/>
          <w:color w:val="000000"/>
          <w:szCs w:val="20"/>
          <w:shd w:val="clear" w:color="auto" w:fill="FFFFFF"/>
        </w:rPr>
        <w:t xml:space="preserve"> </w:t>
      </w:r>
      <w:r>
        <w:rPr>
          <w:bCs/>
          <w:color w:val="000000"/>
          <w:szCs w:val="20"/>
          <w:shd w:val="clear" w:color="auto" w:fill="FFFFFF"/>
        </w:rPr>
        <w:t>13-16.)</w:t>
      </w:r>
      <w:r w:rsidR="002F45DC">
        <w:rPr>
          <w:bCs/>
          <w:color w:val="000000"/>
          <w:szCs w:val="20"/>
          <w:shd w:val="clear" w:color="auto" w:fill="FFFFFF"/>
        </w:rPr>
        <w:t xml:space="preserve"> </w:t>
      </w:r>
      <w:r>
        <w:rPr>
          <w:i/>
        </w:rPr>
        <w:t xml:space="preserve"> </w:t>
      </w:r>
      <w:r>
        <w:t>Nelson told Lime, “Your work on the screenplay is for hire. For all intents and purposes, we’ll be the author…Do you understand, and is that OK with you?” (</w:t>
      </w:r>
      <w:r>
        <w:rPr>
          <w:i/>
        </w:rPr>
        <w:t>Id.</w:t>
      </w:r>
      <w:r w:rsidRPr="00506B00">
        <w:rPr>
          <w:b/>
          <w:bCs/>
          <w:color w:val="000000"/>
          <w:szCs w:val="20"/>
          <w:shd w:val="clear" w:color="auto" w:fill="FFFFFF"/>
        </w:rPr>
        <w:t xml:space="preserve"> </w:t>
      </w:r>
      <w:r w:rsidRPr="00812300">
        <w:rPr>
          <w:b/>
          <w:bCs/>
          <w:color w:val="000000"/>
          <w:szCs w:val="20"/>
          <w:shd w:val="clear" w:color="auto" w:fill="FFFFFF"/>
        </w:rPr>
        <w:t>¶</w:t>
      </w:r>
      <w:r w:rsidR="002861DA">
        <w:rPr>
          <w:b/>
          <w:bCs/>
          <w:color w:val="000000"/>
          <w:szCs w:val="20"/>
          <w:shd w:val="clear" w:color="auto" w:fill="FFFFFF"/>
        </w:rPr>
        <w:t xml:space="preserve"> </w:t>
      </w:r>
      <w:r>
        <w:rPr>
          <w:bCs/>
          <w:color w:val="000000"/>
          <w:szCs w:val="20"/>
          <w:shd w:val="clear" w:color="auto" w:fill="FFFFFF"/>
        </w:rPr>
        <w:t>16.)</w:t>
      </w:r>
      <w:r>
        <w:rPr>
          <w:i/>
        </w:rPr>
        <w:t xml:space="preserve"> </w:t>
      </w:r>
      <w:r w:rsidR="008F4E08">
        <w:t>Defendant</w:t>
      </w:r>
      <w:r>
        <w:t xml:space="preserve"> answered this query, “Yes.” </w:t>
      </w:r>
      <w:r w:rsidR="002F45DC">
        <w:t xml:space="preserve"> </w:t>
      </w:r>
      <w:r>
        <w:t>(</w:t>
      </w:r>
      <w:r>
        <w:rPr>
          <w:i/>
        </w:rPr>
        <w:t>Id.</w:t>
      </w:r>
      <w:r>
        <w:t xml:space="preserve">) </w:t>
      </w:r>
      <w:r w:rsidR="002F45DC">
        <w:t xml:space="preserve"> </w:t>
      </w:r>
      <w:r w:rsidR="008F4E08">
        <w:t>On April 6, 2010, Defendant</w:t>
      </w:r>
      <w:r>
        <w:t xml:space="preserve"> delivered the screenplay to OGS and at that time ratified the oral contract by </w:t>
      </w:r>
      <w:r w:rsidRPr="00506B00">
        <w:t>signing</w:t>
      </w:r>
      <w:r>
        <w:t xml:space="preserve"> a document labeled “Work-Made-For-Hire Agreement</w:t>
      </w:r>
      <w:r w:rsidR="002F45DC">
        <w:t>,</w:t>
      </w:r>
      <w:r>
        <w:t>” which stated, “I understand and agree that I have prepared a screenplay…as a work made for hire under the federal Copyright Act of 1976. Pursuant to this law, OGS TV is the author of the screenplay.” (</w:t>
      </w:r>
      <w:r>
        <w:rPr>
          <w:i/>
        </w:rPr>
        <w:t xml:space="preserve">Id. </w:t>
      </w:r>
      <w:r w:rsidRPr="00812300">
        <w:rPr>
          <w:b/>
          <w:bCs/>
          <w:color w:val="000000"/>
          <w:szCs w:val="20"/>
          <w:shd w:val="clear" w:color="auto" w:fill="FFFFFF"/>
        </w:rPr>
        <w:t>¶</w:t>
      </w:r>
      <w:r w:rsidR="002F45DC">
        <w:rPr>
          <w:b/>
          <w:bCs/>
          <w:color w:val="000000"/>
          <w:szCs w:val="20"/>
          <w:shd w:val="clear" w:color="auto" w:fill="FFFFFF"/>
        </w:rPr>
        <w:t xml:space="preserve"> </w:t>
      </w:r>
      <w:r>
        <w:rPr>
          <w:bCs/>
          <w:color w:val="000000"/>
          <w:szCs w:val="20"/>
          <w:shd w:val="clear" w:color="auto" w:fill="FFFFFF"/>
        </w:rPr>
        <w:t>24.)</w:t>
      </w:r>
      <w:r>
        <w:t xml:space="preserve"> By signing this document, Lime effectively recognized the legitimacy of OGS’s exclusive rights and privileges that it secured by registering the screenplay with the Register of Copyrights four days prior. </w:t>
      </w:r>
      <w:r>
        <w:rPr>
          <w:bCs/>
          <w:color w:val="000000"/>
          <w:szCs w:val="20"/>
          <w:shd w:val="clear" w:color="auto" w:fill="FFFFFF"/>
        </w:rPr>
        <w:t>(</w:t>
      </w:r>
      <w:r>
        <w:rPr>
          <w:bCs/>
          <w:i/>
          <w:color w:val="000000"/>
          <w:szCs w:val="20"/>
          <w:shd w:val="clear" w:color="auto" w:fill="FFFFFF"/>
        </w:rPr>
        <w:t xml:space="preserve">Id. </w:t>
      </w:r>
      <w:r w:rsidRPr="00812300">
        <w:rPr>
          <w:b/>
          <w:bCs/>
          <w:color w:val="000000"/>
          <w:szCs w:val="20"/>
          <w:shd w:val="clear" w:color="auto" w:fill="FFFFFF"/>
        </w:rPr>
        <w:t>¶</w:t>
      </w:r>
      <w:r w:rsidR="002861DA">
        <w:rPr>
          <w:b/>
          <w:bCs/>
          <w:color w:val="000000"/>
          <w:szCs w:val="20"/>
          <w:shd w:val="clear" w:color="auto" w:fill="FFFFFF"/>
        </w:rPr>
        <w:t xml:space="preserve"> </w:t>
      </w:r>
      <w:r>
        <w:rPr>
          <w:bCs/>
          <w:color w:val="000000"/>
          <w:szCs w:val="20"/>
          <w:shd w:val="clear" w:color="auto" w:fill="FFFFFF"/>
        </w:rPr>
        <w:t>22.)</w:t>
      </w:r>
    </w:p>
    <w:p w14:paraId="00618D51" w14:textId="77777777" w:rsidR="00B65A59" w:rsidRDefault="005D1A32" w:rsidP="00B65A59">
      <w:pPr>
        <w:jc w:val="both"/>
      </w:pPr>
      <w:r>
        <w:tab/>
      </w:r>
      <w:r w:rsidR="002F45DC">
        <w:t xml:space="preserve">Out of apparent </w:t>
      </w:r>
      <w:r w:rsidR="008F4E08">
        <w:t>a</w:t>
      </w:r>
      <w:r w:rsidR="002F45DC">
        <w:t>nger at</w:t>
      </w:r>
      <w:r>
        <w:t xml:space="preserve"> OGS’s refusal to produce her screenplay</w:t>
      </w:r>
      <w:r w:rsidR="008F4E08">
        <w:t xml:space="preserve">, Defendant </w:t>
      </w:r>
      <w:r>
        <w:t>took the script to a rival TV studio in a reckless attempt to vindicate her professional reputation, knowing full well that the OGS was the “author for all intents and purposes.” (</w:t>
      </w:r>
      <w:r>
        <w:rPr>
          <w:i/>
        </w:rPr>
        <w:t xml:space="preserve">Id. </w:t>
      </w:r>
      <w:r w:rsidRPr="00812300">
        <w:rPr>
          <w:b/>
          <w:bCs/>
          <w:color w:val="000000"/>
          <w:szCs w:val="20"/>
          <w:shd w:val="clear" w:color="auto" w:fill="FFFFFF"/>
        </w:rPr>
        <w:t>¶</w:t>
      </w:r>
      <w:r w:rsidR="00A45B7D" w:rsidRPr="00812300">
        <w:rPr>
          <w:b/>
          <w:bCs/>
          <w:color w:val="000000"/>
          <w:szCs w:val="20"/>
          <w:shd w:val="clear" w:color="auto" w:fill="FFFFFF"/>
        </w:rPr>
        <w:t>¶</w:t>
      </w:r>
      <w:r w:rsidR="00A45B7D">
        <w:rPr>
          <w:b/>
          <w:bCs/>
          <w:color w:val="000000"/>
          <w:szCs w:val="20"/>
          <w:shd w:val="clear" w:color="auto" w:fill="FFFFFF"/>
        </w:rPr>
        <w:t xml:space="preserve"> </w:t>
      </w:r>
      <w:r>
        <w:rPr>
          <w:bCs/>
          <w:color w:val="000000"/>
          <w:szCs w:val="20"/>
          <w:shd w:val="clear" w:color="auto" w:fill="FFFFFF"/>
        </w:rPr>
        <w:t>26-</w:t>
      </w:r>
      <w:r w:rsidR="002861DA">
        <w:rPr>
          <w:bCs/>
          <w:color w:val="000000"/>
          <w:szCs w:val="20"/>
          <w:shd w:val="clear" w:color="auto" w:fill="FFFFFF"/>
        </w:rPr>
        <w:t>2</w:t>
      </w:r>
      <w:r>
        <w:rPr>
          <w:bCs/>
          <w:color w:val="000000"/>
          <w:szCs w:val="20"/>
          <w:shd w:val="clear" w:color="auto" w:fill="FFFFFF"/>
        </w:rPr>
        <w:t xml:space="preserve">7.) </w:t>
      </w:r>
      <w:r>
        <w:t xml:space="preserve">Defendants conspired to create a pilot for a new show, </w:t>
      </w:r>
      <w:r>
        <w:rPr>
          <w:i/>
        </w:rPr>
        <w:t xml:space="preserve">The Tin </w:t>
      </w:r>
      <w:r w:rsidRPr="00BE13B5">
        <w:rPr>
          <w:i/>
        </w:rPr>
        <w:t>Can</w:t>
      </w:r>
      <w:r>
        <w:t xml:space="preserve">, which contained identical dialogue, characters, and storylines to the </w:t>
      </w:r>
      <w:r>
        <w:rPr>
          <w:i/>
        </w:rPr>
        <w:t xml:space="preserve">Lawless Love </w:t>
      </w:r>
      <w:r>
        <w:t>screenplay. (</w:t>
      </w:r>
      <w:r>
        <w:rPr>
          <w:i/>
        </w:rPr>
        <w:t xml:space="preserve">Id. </w:t>
      </w:r>
      <w:r w:rsidRPr="00812300">
        <w:rPr>
          <w:b/>
          <w:bCs/>
          <w:color w:val="000000"/>
          <w:szCs w:val="20"/>
          <w:shd w:val="clear" w:color="auto" w:fill="FFFFFF"/>
        </w:rPr>
        <w:t>¶</w:t>
      </w:r>
      <w:r w:rsidR="00A45B7D" w:rsidRPr="00812300">
        <w:rPr>
          <w:b/>
          <w:bCs/>
          <w:color w:val="000000"/>
          <w:szCs w:val="20"/>
          <w:shd w:val="clear" w:color="auto" w:fill="FFFFFF"/>
        </w:rPr>
        <w:t>¶</w:t>
      </w:r>
      <w:r w:rsidR="00A45B7D">
        <w:rPr>
          <w:b/>
          <w:bCs/>
          <w:color w:val="000000"/>
          <w:szCs w:val="20"/>
          <w:shd w:val="clear" w:color="auto" w:fill="FFFFFF"/>
        </w:rPr>
        <w:t xml:space="preserve"> </w:t>
      </w:r>
      <w:r w:rsidRPr="00BE13B5">
        <w:rPr>
          <w:bCs/>
          <w:color w:val="000000"/>
          <w:szCs w:val="20"/>
          <w:shd w:val="clear" w:color="auto" w:fill="FFFFFF"/>
        </w:rPr>
        <w:t>27</w:t>
      </w:r>
      <w:r>
        <w:rPr>
          <w:b/>
          <w:bCs/>
          <w:color w:val="000000"/>
          <w:szCs w:val="20"/>
          <w:shd w:val="clear" w:color="auto" w:fill="FFFFFF"/>
        </w:rPr>
        <w:t>-</w:t>
      </w:r>
      <w:r>
        <w:rPr>
          <w:bCs/>
          <w:color w:val="000000"/>
          <w:szCs w:val="20"/>
          <w:shd w:val="clear" w:color="auto" w:fill="FFFFFF"/>
        </w:rPr>
        <w:t xml:space="preserve">28, 31.) Defendants </w:t>
      </w:r>
      <w:r>
        <w:rPr>
          <w:bCs/>
          <w:color w:val="000000"/>
          <w:szCs w:val="20"/>
          <w:shd w:val="clear" w:color="auto" w:fill="FFFFFF"/>
        </w:rPr>
        <w:lastRenderedPageBreak/>
        <w:t xml:space="preserve">subsequently aired the show on </w:t>
      </w:r>
      <w:proofErr w:type="spellStart"/>
      <w:r>
        <w:rPr>
          <w:bCs/>
          <w:color w:val="000000"/>
          <w:szCs w:val="20"/>
          <w:shd w:val="clear" w:color="auto" w:fill="FFFFFF"/>
        </w:rPr>
        <w:t>TinyTV’s</w:t>
      </w:r>
      <w:proofErr w:type="spellEnd"/>
      <w:r>
        <w:rPr>
          <w:bCs/>
          <w:color w:val="000000"/>
          <w:szCs w:val="20"/>
          <w:shd w:val="clear" w:color="auto" w:fill="FFFFFF"/>
        </w:rPr>
        <w:t xml:space="preserve"> cable channel, reaping $80,000 in advertising revenue. (</w:t>
      </w:r>
      <w:r>
        <w:rPr>
          <w:bCs/>
          <w:i/>
          <w:color w:val="000000"/>
          <w:szCs w:val="20"/>
          <w:shd w:val="clear" w:color="auto" w:fill="FFFFFF"/>
        </w:rPr>
        <w:t xml:space="preserve">Id. </w:t>
      </w:r>
      <w:r w:rsidRPr="00812300">
        <w:rPr>
          <w:b/>
          <w:bCs/>
          <w:color w:val="000000"/>
          <w:szCs w:val="20"/>
          <w:shd w:val="clear" w:color="auto" w:fill="FFFFFF"/>
        </w:rPr>
        <w:t>¶</w:t>
      </w:r>
      <w:r w:rsidR="00A45B7D" w:rsidRPr="00812300">
        <w:rPr>
          <w:b/>
          <w:bCs/>
          <w:color w:val="000000"/>
          <w:szCs w:val="20"/>
          <w:shd w:val="clear" w:color="auto" w:fill="FFFFFF"/>
        </w:rPr>
        <w:t>¶</w:t>
      </w:r>
      <w:r w:rsidR="00A45B7D">
        <w:rPr>
          <w:b/>
          <w:bCs/>
          <w:color w:val="000000"/>
          <w:szCs w:val="20"/>
          <w:shd w:val="clear" w:color="auto" w:fill="FFFFFF"/>
        </w:rPr>
        <w:t xml:space="preserve"> </w:t>
      </w:r>
      <w:r w:rsidR="00A45B7D">
        <w:rPr>
          <w:bCs/>
          <w:color w:val="000000"/>
          <w:szCs w:val="20"/>
          <w:shd w:val="clear" w:color="auto" w:fill="FFFFFF"/>
        </w:rPr>
        <w:t>29-</w:t>
      </w:r>
      <w:r>
        <w:rPr>
          <w:bCs/>
          <w:color w:val="000000"/>
          <w:szCs w:val="20"/>
          <w:shd w:val="clear" w:color="auto" w:fill="FFFFFF"/>
        </w:rPr>
        <w:t>30.)</w:t>
      </w:r>
      <w:r>
        <w:t xml:space="preserve"> The Defendants plan to continue airing th</w:t>
      </w:r>
      <w:r w:rsidR="006A1E2B">
        <w:t>e show unless enjoined by this C</w:t>
      </w:r>
      <w:r>
        <w:t>ourt, displaying neither remorse nor contrition. (</w:t>
      </w:r>
      <w:r>
        <w:rPr>
          <w:i/>
        </w:rPr>
        <w:t xml:space="preserve">Id. </w:t>
      </w:r>
      <w:r w:rsidRPr="00812300">
        <w:rPr>
          <w:b/>
          <w:bCs/>
          <w:color w:val="000000"/>
          <w:szCs w:val="20"/>
          <w:shd w:val="clear" w:color="auto" w:fill="FFFFFF"/>
        </w:rPr>
        <w:t>¶</w:t>
      </w:r>
      <w:r w:rsidR="00A45B7D">
        <w:rPr>
          <w:b/>
          <w:bCs/>
          <w:color w:val="000000"/>
          <w:szCs w:val="20"/>
          <w:shd w:val="clear" w:color="auto" w:fill="FFFFFF"/>
        </w:rPr>
        <w:t xml:space="preserve"> </w:t>
      </w:r>
      <w:r>
        <w:rPr>
          <w:bCs/>
          <w:color w:val="000000"/>
          <w:szCs w:val="20"/>
          <w:shd w:val="clear" w:color="auto" w:fill="FFFFFF"/>
        </w:rPr>
        <w:t>32.)</w:t>
      </w:r>
    </w:p>
    <w:p w14:paraId="39771F90" w14:textId="77777777" w:rsidR="005D1A32" w:rsidRPr="00B65A59" w:rsidRDefault="008F4E08" w:rsidP="00B65A59">
      <w:pPr>
        <w:jc w:val="center"/>
      </w:pPr>
      <w:r>
        <w:rPr>
          <w:b/>
          <w:u w:val="single"/>
        </w:rPr>
        <w:t>STANDARD OF REVIEW</w:t>
      </w:r>
    </w:p>
    <w:p w14:paraId="2A02A790" w14:textId="77777777" w:rsidR="00A11F81" w:rsidRPr="00A11F81" w:rsidRDefault="00B13436" w:rsidP="005B461B">
      <w:pPr>
        <w:jc w:val="both"/>
        <w:rPr>
          <w:rFonts w:eastAsia="Times New Roman" w:cs="Times New Roman"/>
          <w:szCs w:val="24"/>
        </w:rPr>
      </w:pPr>
      <w:r>
        <w:tab/>
        <w:t xml:space="preserve">In order to survive a motion to dismiss, a complaint must contain sufficient factual enhancement, which the Court must take as true, to “state a claim to relief that is plausible on its face.” </w:t>
      </w:r>
      <w:r>
        <w:rPr>
          <w:i/>
        </w:rPr>
        <w:t xml:space="preserve">Bell Atlantic Corp. v. </w:t>
      </w:r>
      <w:proofErr w:type="spellStart"/>
      <w:r>
        <w:rPr>
          <w:i/>
        </w:rPr>
        <w:t>Twombly</w:t>
      </w:r>
      <w:proofErr w:type="spellEnd"/>
      <w:r w:rsidRPr="00EB3F81">
        <w:t>,</w:t>
      </w:r>
      <w:r>
        <w:t xml:space="preserve"> 550 U.S. 544, 570 (2007). </w:t>
      </w:r>
      <w:r w:rsidR="00AB714C">
        <w:rPr>
          <w:rFonts w:eastAsia="Times New Roman" w:cs="Times New Roman"/>
          <w:szCs w:val="24"/>
        </w:rPr>
        <w:t>A claim is facially plausible, “</w:t>
      </w:r>
      <w:r w:rsidRPr="00B13436">
        <w:rPr>
          <w:rFonts w:eastAsia="Times New Roman" w:cs="Times New Roman"/>
          <w:szCs w:val="24"/>
        </w:rPr>
        <w:t>when the plaintiff pleads factual content that allows the court to draw the reasonable inference that the defendant is liable for the misconduct alleged.</w:t>
      </w:r>
      <w:r w:rsidR="00AB714C">
        <w:rPr>
          <w:rFonts w:eastAsia="Times New Roman" w:cs="Times New Roman"/>
          <w:szCs w:val="24"/>
        </w:rPr>
        <w:t>”</w:t>
      </w:r>
      <w:r>
        <w:rPr>
          <w:rFonts w:eastAsia="Times New Roman" w:cs="Times New Roman"/>
          <w:szCs w:val="24"/>
        </w:rPr>
        <w:t xml:space="preserve"> </w:t>
      </w:r>
      <w:r>
        <w:rPr>
          <w:rFonts w:eastAsia="Times New Roman" w:cs="Times New Roman"/>
          <w:i/>
          <w:szCs w:val="24"/>
        </w:rPr>
        <w:t xml:space="preserve">Id. </w:t>
      </w:r>
      <w:r>
        <w:rPr>
          <w:rFonts w:eastAsia="Times New Roman" w:cs="Times New Roman"/>
          <w:szCs w:val="24"/>
        </w:rPr>
        <w:t xml:space="preserve">at 556. </w:t>
      </w:r>
      <w:r w:rsidR="00B11DA6">
        <w:rPr>
          <w:rFonts w:eastAsia="Times New Roman" w:cs="Times New Roman"/>
          <w:szCs w:val="24"/>
        </w:rPr>
        <w:t>T</w:t>
      </w:r>
      <w:r w:rsidR="00AB714C">
        <w:rPr>
          <w:rFonts w:eastAsia="Times New Roman" w:cs="Times New Roman"/>
          <w:szCs w:val="24"/>
        </w:rPr>
        <w:t>he plaintiff must plead sufficient facts to allow the Court, “</w:t>
      </w:r>
      <w:r w:rsidR="00A11F81" w:rsidRPr="00A11F81">
        <w:rPr>
          <w:rFonts w:eastAsia="Times New Roman" w:cs="Times New Roman"/>
          <w:szCs w:val="24"/>
        </w:rPr>
        <w:t>to infer more than the</w:t>
      </w:r>
      <w:r w:rsidR="00AB714C">
        <w:rPr>
          <w:rFonts w:eastAsia="Times New Roman" w:cs="Times New Roman"/>
          <w:szCs w:val="24"/>
        </w:rPr>
        <w:t xml:space="preserve"> mere possibility of misconduct.”</w:t>
      </w:r>
      <w:r w:rsidR="00A11F81" w:rsidRPr="00A11F81">
        <w:rPr>
          <w:rFonts w:eastAsia="Times New Roman" w:cs="Times New Roman"/>
          <w:szCs w:val="24"/>
        </w:rPr>
        <w:t xml:space="preserve"> </w:t>
      </w:r>
      <w:r w:rsidR="00A11F81" w:rsidRPr="00A11F81">
        <w:rPr>
          <w:rFonts w:eastAsia="Times New Roman" w:cs="Times New Roman"/>
          <w:i/>
          <w:szCs w:val="24"/>
        </w:rPr>
        <w:t xml:space="preserve">Ashcroft v. </w:t>
      </w:r>
      <w:proofErr w:type="spellStart"/>
      <w:r w:rsidR="00A11F81" w:rsidRPr="00A11F81">
        <w:rPr>
          <w:rFonts w:eastAsia="Times New Roman" w:cs="Times New Roman"/>
          <w:i/>
          <w:szCs w:val="24"/>
        </w:rPr>
        <w:t>Iqbal</w:t>
      </w:r>
      <w:proofErr w:type="spellEnd"/>
      <w:r w:rsidR="00C9560C">
        <w:rPr>
          <w:rFonts w:eastAsia="Times New Roman" w:cs="Times New Roman"/>
          <w:szCs w:val="24"/>
        </w:rPr>
        <w:t xml:space="preserve">, </w:t>
      </w:r>
      <w:r w:rsidR="00BD1BA6">
        <w:rPr>
          <w:rFonts w:eastAsia="Times New Roman" w:cs="Times New Roman"/>
          <w:szCs w:val="24"/>
        </w:rPr>
        <w:t xml:space="preserve">556 U.S. 662, </w:t>
      </w:r>
      <w:r w:rsidR="00C9560C">
        <w:rPr>
          <w:rFonts w:eastAsia="Times New Roman" w:cs="Times New Roman"/>
          <w:szCs w:val="24"/>
        </w:rPr>
        <w:t xml:space="preserve">129 </w:t>
      </w:r>
      <w:proofErr w:type="spellStart"/>
      <w:r w:rsidR="00C9560C">
        <w:rPr>
          <w:rFonts w:eastAsia="Times New Roman" w:cs="Times New Roman"/>
          <w:szCs w:val="24"/>
        </w:rPr>
        <w:t>S.Ct</w:t>
      </w:r>
      <w:proofErr w:type="spellEnd"/>
      <w:r w:rsidR="00C9560C">
        <w:rPr>
          <w:rFonts w:eastAsia="Times New Roman" w:cs="Times New Roman"/>
          <w:szCs w:val="24"/>
        </w:rPr>
        <w:t>. 1937, 1950</w:t>
      </w:r>
      <w:r w:rsidR="00A11F81">
        <w:rPr>
          <w:rFonts w:eastAsia="Times New Roman" w:cs="Times New Roman"/>
          <w:szCs w:val="24"/>
        </w:rPr>
        <w:t xml:space="preserve"> </w:t>
      </w:r>
      <w:r w:rsidR="00A11F81" w:rsidRPr="00A11F81">
        <w:rPr>
          <w:rFonts w:eastAsia="Times New Roman" w:cs="Times New Roman"/>
          <w:szCs w:val="24"/>
        </w:rPr>
        <w:t>(2009)</w:t>
      </w:r>
      <w:r w:rsidR="00A11F81">
        <w:rPr>
          <w:rFonts w:eastAsia="Times New Roman" w:cs="Times New Roman"/>
          <w:szCs w:val="24"/>
        </w:rPr>
        <w:t>.</w:t>
      </w:r>
      <w:r w:rsidR="008728EE">
        <w:rPr>
          <w:rFonts w:eastAsia="Times New Roman" w:cs="Times New Roman"/>
          <w:szCs w:val="24"/>
        </w:rPr>
        <w:t xml:space="preserve"> The Court should deny Defendant’s motion to dismiss on grounds that OGS</w:t>
      </w:r>
      <w:r w:rsidR="009A24B4">
        <w:rPr>
          <w:rFonts w:eastAsia="Times New Roman" w:cs="Times New Roman"/>
          <w:szCs w:val="24"/>
        </w:rPr>
        <w:t xml:space="preserve"> has pleaded sufficient facts which, taken as true,</w:t>
      </w:r>
      <w:r w:rsidR="008728EE">
        <w:rPr>
          <w:rFonts w:eastAsia="Times New Roman" w:cs="Times New Roman"/>
          <w:szCs w:val="24"/>
        </w:rPr>
        <w:t xml:space="preserve"> </w:t>
      </w:r>
      <w:r w:rsidR="0048482B">
        <w:rPr>
          <w:rFonts w:eastAsia="Times New Roman" w:cs="Times New Roman"/>
          <w:szCs w:val="24"/>
        </w:rPr>
        <w:t>sustain</w:t>
      </w:r>
      <w:r w:rsidR="008728EE">
        <w:rPr>
          <w:rFonts w:eastAsia="Times New Roman" w:cs="Times New Roman"/>
          <w:szCs w:val="24"/>
        </w:rPr>
        <w:t xml:space="preserve"> </w:t>
      </w:r>
      <w:r w:rsidR="0048482B">
        <w:rPr>
          <w:rFonts w:eastAsia="Times New Roman" w:cs="Times New Roman"/>
          <w:szCs w:val="24"/>
        </w:rPr>
        <w:t xml:space="preserve">the </w:t>
      </w:r>
      <w:r w:rsidR="008728EE">
        <w:rPr>
          <w:rFonts w:eastAsia="Times New Roman" w:cs="Times New Roman"/>
          <w:szCs w:val="24"/>
        </w:rPr>
        <w:t>legal contention that the screenplay was a work made for hire under 17 U.S.C. § 101</w:t>
      </w:r>
      <w:r w:rsidR="009A24B4">
        <w:rPr>
          <w:rFonts w:eastAsia="Times New Roman" w:cs="Times New Roman"/>
          <w:szCs w:val="24"/>
        </w:rPr>
        <w:t xml:space="preserve"> and that Defendants were therefore in violation of the statut</w:t>
      </w:r>
      <w:r w:rsidR="001B5D6E">
        <w:rPr>
          <w:rFonts w:eastAsia="Times New Roman" w:cs="Times New Roman"/>
          <w:szCs w:val="24"/>
        </w:rPr>
        <w:t>e.</w:t>
      </w:r>
    </w:p>
    <w:p w14:paraId="42E315C8" w14:textId="77777777" w:rsidR="005D1A32" w:rsidRPr="00A83887" w:rsidRDefault="00A83887" w:rsidP="00A879EC">
      <w:pPr>
        <w:spacing w:line="240" w:lineRule="auto"/>
        <w:jc w:val="center"/>
        <w:rPr>
          <w:b/>
          <w:u w:val="single"/>
        </w:rPr>
      </w:pPr>
      <w:r>
        <w:rPr>
          <w:b/>
          <w:u w:val="single"/>
        </w:rPr>
        <w:t>ARGUMENT</w:t>
      </w:r>
    </w:p>
    <w:p w14:paraId="1CC764A9" w14:textId="77777777" w:rsidR="005D1A32" w:rsidRDefault="005D1A32" w:rsidP="005D1A32">
      <w:pPr>
        <w:spacing w:line="240" w:lineRule="auto"/>
        <w:jc w:val="center"/>
        <w:rPr>
          <w:b/>
          <w:u w:val="single"/>
        </w:rPr>
      </w:pPr>
    </w:p>
    <w:p w14:paraId="286D7A6B" w14:textId="77777777" w:rsidR="00F25064" w:rsidRPr="00F25064" w:rsidRDefault="006C3FA3" w:rsidP="00CE2284">
      <w:pPr>
        <w:ind w:firstLine="720"/>
        <w:jc w:val="both"/>
      </w:pPr>
      <w:r>
        <w:t>U</w:t>
      </w:r>
      <w:r w:rsidR="00583A4D">
        <w:t xml:space="preserve">nder the </w:t>
      </w:r>
      <w:r>
        <w:t xml:space="preserve">works made for hire provision of the Copyright of 1976, Congress did not require the parties to execute a written instrument before the creation of a </w:t>
      </w:r>
      <w:r w:rsidR="00583A4D">
        <w:t xml:space="preserve">specially commissioned </w:t>
      </w:r>
      <w:r>
        <w:t>work for the parties to be able to designate i</w:t>
      </w:r>
      <w:r w:rsidR="00D06CD7">
        <w:t xml:space="preserve">t as made for hire.  The policy objectives of this provision include creating predictability of ownership, marketability of the product created, and protecting the contracting parties. So long as </w:t>
      </w:r>
      <w:r>
        <w:t xml:space="preserve">the independent contractor had clear notice that the work was to be made for hire and the parties executed the written instrument at some point before marketing the product, the </w:t>
      </w:r>
      <w:r w:rsidR="00D06CD7">
        <w:t>parties have achieved these objectives</w:t>
      </w:r>
      <w:r>
        <w:t xml:space="preserve">. The Court should allow </w:t>
      </w:r>
      <w:r w:rsidR="00BA28A3">
        <w:t xml:space="preserve">contracting parties to ratify pre-creation oral agreements with </w:t>
      </w:r>
      <w:r w:rsidR="00A85CBD">
        <w:t>post-</w:t>
      </w:r>
      <w:r w:rsidR="00BA28A3">
        <w:t xml:space="preserve">creation </w:t>
      </w:r>
      <w:r w:rsidR="00BA28A3">
        <w:lastRenderedPageBreak/>
        <w:t>written instrument</w:t>
      </w:r>
      <w:r w:rsidR="002B37D1">
        <w:t xml:space="preserve">s on grounds that </w:t>
      </w:r>
      <w:r w:rsidR="008173ED">
        <w:t>ratification is supported by</w:t>
      </w:r>
      <w:r w:rsidR="00A0638E">
        <w:t xml:space="preserve"> </w:t>
      </w:r>
      <w:r w:rsidR="00BA28A3">
        <w:t>the</w:t>
      </w:r>
      <w:r w:rsidR="00A0638E">
        <w:t xml:space="preserve"> </w:t>
      </w:r>
      <w:r w:rsidR="00B21828">
        <w:t>plain text of the statute</w:t>
      </w:r>
      <w:r w:rsidR="008173ED">
        <w:t xml:space="preserve">, </w:t>
      </w:r>
      <w:r w:rsidR="00B21828">
        <w:t>the canons of statutory interpretation</w:t>
      </w:r>
      <w:r w:rsidR="008173ED">
        <w:t xml:space="preserve">, </w:t>
      </w:r>
      <w:r w:rsidR="00B21828">
        <w:t>legislative history</w:t>
      </w:r>
      <w:r w:rsidR="009D0899">
        <w:t xml:space="preserve">, </w:t>
      </w:r>
      <w:r w:rsidR="00B21828">
        <w:t>policy, case law, and the facts</w:t>
      </w:r>
      <w:r w:rsidR="00593C9F">
        <w:t xml:space="preserve"> of the case</w:t>
      </w:r>
      <w:r w:rsidR="00C647BD">
        <w:t>.</w:t>
      </w:r>
    </w:p>
    <w:p w14:paraId="0AFE183E" w14:textId="77777777" w:rsidR="00AB3054" w:rsidRDefault="005D1A32" w:rsidP="00F27D5D">
      <w:pPr>
        <w:pStyle w:val="ListParagraph"/>
        <w:numPr>
          <w:ilvl w:val="0"/>
          <w:numId w:val="7"/>
        </w:numPr>
        <w:spacing w:line="240" w:lineRule="auto"/>
        <w:contextualSpacing w:val="0"/>
        <w:jc w:val="both"/>
        <w:rPr>
          <w:b/>
        </w:rPr>
      </w:pPr>
      <w:r>
        <w:rPr>
          <w:b/>
        </w:rPr>
        <w:t xml:space="preserve">THE PLAIN TEXT OF THE STATUTE DOES NOT REQUIRE A WRITTEN INSTRUMENT TO PREDATE THE CREATION OF A WORK FOR IT TO </w:t>
      </w:r>
      <w:r w:rsidR="00F27D5D">
        <w:rPr>
          <w:b/>
        </w:rPr>
        <w:t>BE CONSIDERED A WORK MADE FOR HIRE.</w:t>
      </w:r>
    </w:p>
    <w:p w14:paraId="50F4ACEF" w14:textId="77777777" w:rsidR="00F45BFA" w:rsidRPr="00F27D5D" w:rsidRDefault="00F45BFA" w:rsidP="00F45BFA">
      <w:pPr>
        <w:pStyle w:val="ListParagraph"/>
        <w:spacing w:line="240" w:lineRule="auto"/>
        <w:ind w:left="1080"/>
        <w:contextualSpacing w:val="0"/>
        <w:jc w:val="both"/>
        <w:rPr>
          <w:b/>
        </w:rPr>
      </w:pPr>
    </w:p>
    <w:p w14:paraId="559B1F52" w14:textId="77777777" w:rsidR="00CE2284" w:rsidRPr="00CE2284" w:rsidRDefault="00CE2284" w:rsidP="00290B40">
      <w:pPr>
        <w:ind w:firstLine="720"/>
        <w:jc w:val="both"/>
      </w:pPr>
      <w:r>
        <w:t>T</w:t>
      </w:r>
      <w:r w:rsidR="00290B40">
        <w:t xml:space="preserve">he </w:t>
      </w:r>
      <w:r w:rsidR="00B61A34">
        <w:t>Court should deem the written instrument executed by the parties val</w:t>
      </w:r>
      <w:r w:rsidR="00772785">
        <w:t>id because the statute’s plain language, grammatica</w:t>
      </w:r>
      <w:r w:rsidR="00F24930">
        <w:t>l construction, and overall design support this interpretation</w:t>
      </w:r>
      <w:r w:rsidR="00B61A34">
        <w:t>.</w:t>
      </w:r>
    </w:p>
    <w:p w14:paraId="3B0D661B" w14:textId="77777777" w:rsidR="005D1A32" w:rsidRPr="00FA509C" w:rsidRDefault="005D1A32" w:rsidP="005D1A32">
      <w:pPr>
        <w:pStyle w:val="ListParagraph"/>
        <w:numPr>
          <w:ilvl w:val="1"/>
          <w:numId w:val="7"/>
        </w:numPr>
        <w:spacing w:line="240" w:lineRule="auto"/>
        <w:jc w:val="both"/>
        <w:rPr>
          <w:b/>
        </w:rPr>
      </w:pPr>
      <w:r>
        <w:rPr>
          <w:b/>
          <w:i/>
        </w:rPr>
        <w:t>Under the Plain Meaning of the Statute, the Writing Does Not Need to Be Created Before the Work.</w:t>
      </w:r>
    </w:p>
    <w:p w14:paraId="0C12E112" w14:textId="77777777" w:rsidR="005D1A32" w:rsidRDefault="005D1A32" w:rsidP="005D1A32">
      <w:pPr>
        <w:pStyle w:val="ListParagraph"/>
        <w:spacing w:line="240" w:lineRule="auto"/>
        <w:ind w:left="1440"/>
        <w:jc w:val="both"/>
        <w:rPr>
          <w:b/>
          <w:i/>
        </w:rPr>
      </w:pPr>
    </w:p>
    <w:p w14:paraId="4B51190D" w14:textId="77777777" w:rsidR="00645EB9" w:rsidRPr="00E3223D" w:rsidRDefault="007A5290" w:rsidP="00E62A39">
      <w:pPr>
        <w:ind w:firstLine="720"/>
        <w:jc w:val="both"/>
      </w:pPr>
      <w:r>
        <w:t xml:space="preserve">The plain language of the statute is the starting point in resolving any question of statutory interpretation. </w:t>
      </w:r>
      <w:r>
        <w:rPr>
          <w:i/>
        </w:rPr>
        <w:t>United States v. Ron Pair Enters</w:t>
      </w:r>
      <w:r w:rsidRPr="00EB3F81">
        <w:t>,</w:t>
      </w:r>
      <w:r>
        <w:rPr>
          <w:i/>
        </w:rPr>
        <w:t xml:space="preserve"> Inc.</w:t>
      </w:r>
      <w:r>
        <w:t xml:space="preserve">, 489 U.S. 235, 241 (1989). </w:t>
      </w:r>
      <w:r w:rsidR="00645EB9">
        <w:t xml:space="preserve">The Court should assume that Congress said what it meant in the statute and meant in the statute what it said there. </w:t>
      </w:r>
      <w:r w:rsidR="00645EB9">
        <w:rPr>
          <w:i/>
        </w:rPr>
        <w:t xml:space="preserve">Connecticut Nat. Bank v. </w:t>
      </w:r>
      <w:proofErr w:type="spellStart"/>
      <w:r w:rsidR="00645EB9">
        <w:rPr>
          <w:i/>
        </w:rPr>
        <w:t>Germain</w:t>
      </w:r>
      <w:proofErr w:type="spellEnd"/>
      <w:r w:rsidR="00645EB9" w:rsidRPr="00EB3F81">
        <w:t>,</w:t>
      </w:r>
      <w:r w:rsidR="00645EB9">
        <w:rPr>
          <w:i/>
        </w:rPr>
        <w:t xml:space="preserve"> </w:t>
      </w:r>
      <w:r w:rsidR="00645EB9">
        <w:t xml:space="preserve">503 U.S. 249, 253 (1992).  There is a basic difference between filling a gap left by Congress’ silence and rewriting rules that Congress has affirmatively and specifically enacted. </w:t>
      </w:r>
      <w:r w:rsidR="00645EB9">
        <w:rPr>
          <w:i/>
        </w:rPr>
        <w:t>Mobil Oil Corp. v. Higginbotham</w:t>
      </w:r>
      <w:r w:rsidR="00645EB9" w:rsidRPr="00EB3F81">
        <w:t>,</w:t>
      </w:r>
      <w:r w:rsidR="00645EB9">
        <w:rPr>
          <w:i/>
        </w:rPr>
        <w:t xml:space="preserve"> </w:t>
      </w:r>
      <w:r w:rsidR="00645EB9">
        <w:t>436 U.S. 618, 625 (1978)</w:t>
      </w:r>
      <w:r w:rsidR="009D5012">
        <w:t xml:space="preserve"> (holding that prescribing a different measure of damages, a different statute of limitations, or a different class of beneficiaries would constitute “rewriting” a statute)</w:t>
      </w:r>
      <w:r w:rsidR="00645EB9">
        <w:t xml:space="preserve">. </w:t>
      </w:r>
      <w:r w:rsidR="00163003">
        <w:t>The statute provides that</w:t>
      </w:r>
      <w:r w:rsidR="008876BA">
        <w:t xml:space="preserve"> a work</w:t>
      </w:r>
      <w:r w:rsidR="006D2D15">
        <w:t>, “specially commissioned or commissioned for use  as a contribution to a collective work”</w:t>
      </w:r>
      <w:r w:rsidR="008876BA">
        <w:t xml:space="preserve"> will be considered made for hire</w:t>
      </w:r>
      <w:r w:rsidR="00923ADA">
        <w:t>, “if the parties expressly agree in a written instrument signed by them that the work shall be considered a work made for hire</w:t>
      </w:r>
      <w:r w:rsidR="008A3EFF">
        <w:t>”</w:t>
      </w:r>
      <w:r w:rsidR="00923ADA">
        <w:t>. Copyright Act of 1976, 17 U.S.C. § 101 (2006).</w:t>
      </w:r>
      <w:r w:rsidR="00377363">
        <w:t xml:space="preserve"> </w:t>
      </w:r>
      <w:r w:rsidR="00DB6E8D">
        <w:t xml:space="preserve">A timing requirement for </w:t>
      </w:r>
      <w:r w:rsidR="006C1C30">
        <w:t>the writing is conspicuously absent from the plain language of the text.</w:t>
      </w:r>
      <w:r w:rsidR="001F4C00">
        <w:t xml:space="preserve"> </w:t>
      </w:r>
      <w:r w:rsidR="009A3326">
        <w:rPr>
          <w:i/>
        </w:rPr>
        <w:t xml:space="preserve">See </w:t>
      </w:r>
      <w:r w:rsidR="001F4C00">
        <w:rPr>
          <w:i/>
        </w:rPr>
        <w:t>Playboy v. Dumas</w:t>
      </w:r>
      <w:r w:rsidR="001905CF">
        <w:t>, 53 F.3d 549, 558 (2d Cir.</w:t>
      </w:r>
      <w:r w:rsidR="001F4C00">
        <w:t xml:space="preserve"> 1995).</w:t>
      </w:r>
      <w:r w:rsidR="00645EB9">
        <w:t xml:space="preserve"> </w:t>
      </w:r>
      <w:r w:rsidR="009A3326">
        <w:t>Assuming that the</w:t>
      </w:r>
      <w:r w:rsidR="00DE6471">
        <w:t xml:space="preserve"> plain language is a complete</w:t>
      </w:r>
      <w:r w:rsidR="00645EB9">
        <w:t xml:space="preserve"> expression of Congressional will, Congress’ silence  with respect to a timing requirem</w:t>
      </w:r>
      <w:r w:rsidR="004D3244">
        <w:t>ent should be considered prima facie evidence</w:t>
      </w:r>
      <w:r w:rsidR="00645EB9">
        <w:t xml:space="preserve"> that Congress did not intend a rigid timing requirement to be codified in</w:t>
      </w:r>
      <w:r w:rsidR="00B66E5A">
        <w:t>to</w:t>
      </w:r>
      <w:r w:rsidR="00645EB9">
        <w:t xml:space="preserve"> § 101.</w:t>
      </w:r>
      <w:r w:rsidR="00EB4896">
        <w:t xml:space="preserve"> </w:t>
      </w:r>
      <w:r w:rsidR="009A3326">
        <w:t xml:space="preserve">Therefore, the Court should deny </w:t>
      </w:r>
      <w:r w:rsidR="009A3326">
        <w:lastRenderedPageBreak/>
        <w:t xml:space="preserve">Defendants’ Motion to Dismiss because </w:t>
      </w:r>
      <w:r w:rsidR="00843628">
        <w:t xml:space="preserve">the post-creation written instrument that the parties executed satisfies the plain text requirement of the statute. </w:t>
      </w:r>
    </w:p>
    <w:p w14:paraId="013AD354" w14:textId="77777777" w:rsidR="005D1A32" w:rsidRPr="008F148E" w:rsidRDefault="005D1A32" w:rsidP="005D1A32">
      <w:pPr>
        <w:pStyle w:val="ListParagraph"/>
        <w:numPr>
          <w:ilvl w:val="1"/>
          <w:numId w:val="7"/>
        </w:numPr>
        <w:spacing w:line="240" w:lineRule="auto"/>
        <w:jc w:val="both"/>
      </w:pPr>
      <w:r>
        <w:rPr>
          <w:b/>
          <w:i/>
        </w:rPr>
        <w:t xml:space="preserve">Grammatically, the </w:t>
      </w:r>
      <w:r w:rsidR="00213C9F">
        <w:rPr>
          <w:b/>
          <w:i/>
        </w:rPr>
        <w:t>Works Made f</w:t>
      </w:r>
      <w:r w:rsidR="00481103">
        <w:rPr>
          <w:b/>
          <w:i/>
        </w:rPr>
        <w:t>or Hire Provision Implies There is a Flexible</w:t>
      </w:r>
      <w:r w:rsidR="00AA7F8E">
        <w:rPr>
          <w:b/>
          <w:i/>
        </w:rPr>
        <w:t xml:space="preserve"> Timing Requirement.</w:t>
      </w:r>
      <w:r w:rsidR="0069576A">
        <w:rPr>
          <w:b/>
          <w:i/>
        </w:rPr>
        <w:t xml:space="preserve"> </w:t>
      </w:r>
    </w:p>
    <w:p w14:paraId="48C9FB8E" w14:textId="77777777" w:rsidR="005D1A32" w:rsidRDefault="005D1A32" w:rsidP="005D1A32">
      <w:pPr>
        <w:pStyle w:val="ListParagraph"/>
        <w:spacing w:line="240" w:lineRule="auto"/>
        <w:ind w:left="1440"/>
        <w:jc w:val="both"/>
        <w:rPr>
          <w:b/>
          <w:i/>
        </w:rPr>
      </w:pPr>
    </w:p>
    <w:p w14:paraId="07C45FB7" w14:textId="77777777" w:rsidR="00F42569" w:rsidRDefault="00EB3F81" w:rsidP="00F42569">
      <w:pPr>
        <w:ind w:firstLine="720"/>
        <w:jc w:val="both"/>
      </w:pPr>
      <w:r>
        <w:t xml:space="preserve">Unless otherwise defined, words should be interpreted in accordance with their common meaning. </w:t>
      </w:r>
      <w:r w:rsidR="006D2365">
        <w:rPr>
          <w:i/>
        </w:rPr>
        <w:t>Perrin v. United States</w:t>
      </w:r>
      <w:r w:rsidRPr="00EB3F81">
        <w:t>,</w:t>
      </w:r>
      <w:r>
        <w:rPr>
          <w:i/>
        </w:rPr>
        <w:t xml:space="preserve"> </w:t>
      </w:r>
      <w:r>
        <w:t>444 U.S. 37</w:t>
      </w:r>
      <w:r w:rsidR="006D2365">
        <w:t>, 42</w:t>
      </w:r>
      <w:r w:rsidR="00DB0CDE">
        <w:t xml:space="preserve"> (1979). </w:t>
      </w:r>
      <w:r w:rsidR="00E77209">
        <w:t>The § 101 writing requirement c</w:t>
      </w:r>
      <w:r w:rsidR="001F7220">
        <w:t>an be broken down into four</w:t>
      </w:r>
      <w:r w:rsidR="00307A11">
        <w:t xml:space="preserve"> key components </w:t>
      </w:r>
      <w:r w:rsidR="00E77209">
        <w:t xml:space="preserve">which, </w:t>
      </w:r>
      <w:r w:rsidR="00604FDD">
        <w:t>parsed</w:t>
      </w:r>
      <w:r w:rsidR="00E77209">
        <w:t xml:space="preserve">, reveal that the writing can be lawfully executed on either side of the creation of the work. </w:t>
      </w:r>
      <w:r w:rsidR="003F4C5C">
        <w:t xml:space="preserve">The </w:t>
      </w:r>
      <w:r w:rsidR="00874E9B">
        <w:t>four</w:t>
      </w:r>
      <w:r w:rsidR="00CA2BFE">
        <w:t xml:space="preserve"> elements consist of</w:t>
      </w:r>
      <w:r w:rsidR="003D54FA">
        <w:t xml:space="preserve">: (1) </w:t>
      </w:r>
      <w:r w:rsidR="00CA2BFE">
        <w:t>a subject phrase</w:t>
      </w:r>
      <w:r w:rsidR="00874E9B">
        <w:t xml:space="preserve"> (“a work made for hire is a work specially ordered or commissioned for use as a contribution to a collective work”); </w:t>
      </w:r>
      <w:r w:rsidR="001D7020">
        <w:t xml:space="preserve">(2) </w:t>
      </w:r>
      <w:r w:rsidR="00874E9B">
        <w:t>a dependent subject phrase</w:t>
      </w:r>
      <w:r w:rsidR="00CA2BFE">
        <w:t xml:space="preserve"> (“if </w:t>
      </w:r>
      <w:r w:rsidR="003D54FA">
        <w:t xml:space="preserve">the parties expressly </w:t>
      </w:r>
      <w:r w:rsidR="003D54FA" w:rsidRPr="003D54FA">
        <w:rPr>
          <w:i/>
        </w:rPr>
        <w:t>agree</w:t>
      </w:r>
      <w:r w:rsidR="001D7020">
        <w:t>”); (3</w:t>
      </w:r>
      <w:r w:rsidR="00CA2BFE">
        <w:t>) a prepositional phrase</w:t>
      </w:r>
      <w:r w:rsidR="003D54FA">
        <w:t xml:space="preserve"> </w:t>
      </w:r>
      <w:r w:rsidR="00CA2BFE">
        <w:t>(“in a</w:t>
      </w:r>
      <w:r w:rsidR="003D54FA">
        <w:t xml:space="preserve"> written instrument </w:t>
      </w:r>
      <w:r w:rsidR="003D54FA">
        <w:rPr>
          <w:i/>
        </w:rPr>
        <w:t xml:space="preserve">signed </w:t>
      </w:r>
      <w:r w:rsidR="00F86C12">
        <w:t>by them</w:t>
      </w:r>
      <w:r w:rsidR="00CA2BFE">
        <w:t>”)</w:t>
      </w:r>
      <w:r w:rsidR="003D54FA">
        <w:t xml:space="preserve">; </w:t>
      </w:r>
      <w:r w:rsidR="00CA2BFE">
        <w:t xml:space="preserve">and </w:t>
      </w:r>
      <w:r w:rsidR="001D7020">
        <w:t>(4</w:t>
      </w:r>
      <w:r w:rsidR="003D54FA">
        <w:t xml:space="preserve">) </w:t>
      </w:r>
      <w:r w:rsidR="00CA2BFE">
        <w:t>a predicate phrase (“</w:t>
      </w:r>
      <w:r w:rsidR="00F86C12">
        <w:t xml:space="preserve">that </w:t>
      </w:r>
      <w:r w:rsidR="003D54FA">
        <w:t xml:space="preserve">the work </w:t>
      </w:r>
      <w:r w:rsidR="003D54FA">
        <w:rPr>
          <w:i/>
        </w:rPr>
        <w:t xml:space="preserve">shall be considered </w:t>
      </w:r>
      <w:r w:rsidR="00F42569">
        <w:t>a work made for hire.</w:t>
      </w:r>
      <w:r w:rsidR="00CA2BFE">
        <w:t xml:space="preserve">”) </w:t>
      </w:r>
      <w:r w:rsidR="00B265DF">
        <w:t xml:space="preserve">(emphasis added) </w:t>
      </w:r>
      <w:r w:rsidR="00C71304">
        <w:t>Copyright Act of 1976, 17 U.S.C. § 101 (2006).</w:t>
      </w:r>
    </w:p>
    <w:p w14:paraId="1398A85B" w14:textId="77777777" w:rsidR="004962F6" w:rsidRPr="00373EE4" w:rsidRDefault="00B1607E" w:rsidP="00F42569">
      <w:pPr>
        <w:ind w:firstLine="720"/>
        <w:jc w:val="both"/>
      </w:pPr>
      <w:r>
        <w:t>First, the phrase</w:t>
      </w:r>
      <w:r w:rsidR="004962F6">
        <w:t xml:space="preserve"> “special </w:t>
      </w:r>
      <w:r>
        <w:t>ordered or commissioned” implies</w:t>
      </w:r>
      <w:r w:rsidR="004962F6">
        <w:t xml:space="preserve"> that the artist must have some kind of notice that the work is to be made for hire before she creates it. </w:t>
      </w:r>
      <w:r w:rsidR="00EB72C2">
        <w:t>The act of commissioning or ordering inherently provides that the work is to be created according to the tastes and specificatio</w:t>
      </w:r>
      <w:r w:rsidR="00872BB1">
        <w:t xml:space="preserve">ns of another, and therefore the Court should assume that </w:t>
      </w:r>
      <w:r w:rsidR="00872BB1">
        <w:rPr>
          <w:i/>
        </w:rPr>
        <w:t xml:space="preserve">some </w:t>
      </w:r>
      <w:r w:rsidR="00872BB1">
        <w:t xml:space="preserve">form of notice is required under the statute. </w:t>
      </w:r>
    </w:p>
    <w:p w14:paraId="627F595D" w14:textId="77777777" w:rsidR="00F42569" w:rsidRPr="003D54FA" w:rsidRDefault="00842CA7" w:rsidP="00F42569">
      <w:pPr>
        <w:ind w:firstLine="720"/>
        <w:jc w:val="both"/>
      </w:pPr>
      <w:r>
        <w:t xml:space="preserve">The subsequent components of the provision grammatically imply that this pre-creation notice can be </w:t>
      </w:r>
      <w:r>
        <w:rPr>
          <w:i/>
        </w:rPr>
        <w:t>either</w:t>
      </w:r>
      <w:r>
        <w:t xml:space="preserve"> oral or written. </w:t>
      </w:r>
      <w:r w:rsidR="0033610A">
        <w:t>T</w:t>
      </w:r>
      <w:r w:rsidR="00DF7591">
        <w:t xml:space="preserve">he verb “agree” in </w:t>
      </w:r>
      <w:r w:rsidR="00981E42">
        <w:t xml:space="preserve">element </w:t>
      </w:r>
      <w:r w:rsidR="00DF7591">
        <w:t>(1)</w:t>
      </w:r>
      <w:r w:rsidR="0033610A">
        <w:t xml:space="preserve"> takes </w:t>
      </w:r>
      <w:r w:rsidR="00CF0437">
        <w:t xml:space="preserve">as its object </w:t>
      </w:r>
      <w:r w:rsidR="009D0EA5">
        <w:t>t</w:t>
      </w:r>
      <w:r w:rsidR="0033610A">
        <w:t>he predicate phrase “that the wo</w:t>
      </w:r>
      <w:r w:rsidR="00CF0437">
        <w:t>rk” in element (3)</w:t>
      </w:r>
      <w:r w:rsidR="00981E42">
        <w:t>.</w:t>
      </w:r>
      <w:r w:rsidR="00DF7591">
        <w:t xml:space="preserve"> </w:t>
      </w:r>
      <w:r w:rsidR="008B5BA6">
        <w:t>The word “work” in its common meaning may refer to a finished product</w:t>
      </w:r>
      <w:r w:rsidR="00142290">
        <w:t>, “something that is or was done”,</w:t>
      </w:r>
      <w:r w:rsidR="008B5BA6">
        <w:t xml:space="preserve"> such as the </w:t>
      </w:r>
      <w:r w:rsidR="00E83079">
        <w:t>screenplay at issue</w:t>
      </w:r>
      <w:r w:rsidR="008B5BA6">
        <w:t xml:space="preserve">. </w:t>
      </w:r>
      <w:r w:rsidR="00142290">
        <w:rPr>
          <w:i/>
        </w:rPr>
        <w:t xml:space="preserve">Work </w:t>
      </w:r>
      <w:r w:rsidR="00142290" w:rsidRPr="00BE6131">
        <w:rPr>
          <w:i/>
        </w:rPr>
        <w:t>Definition</w:t>
      </w:r>
      <w:r w:rsidR="00142290">
        <w:t xml:space="preserve">, </w:t>
      </w:r>
      <w:r w:rsidR="00142290">
        <w:rPr>
          <w:smallCaps/>
        </w:rPr>
        <w:t>Oxford English Dictionary Online</w:t>
      </w:r>
      <w:r w:rsidR="00142290">
        <w:t xml:space="preserve">, </w:t>
      </w:r>
      <w:hyperlink r:id="rId8" w:history="1">
        <w:r w:rsidR="00D3533D">
          <w:rPr>
            <w:rStyle w:val="Hyperlink"/>
          </w:rPr>
          <w:t>http://oed.com/view/Entry/230216</w:t>
        </w:r>
      </w:hyperlink>
      <w:r w:rsidR="00142290">
        <w:t xml:space="preserve"> (last visited March 8, 2012). </w:t>
      </w:r>
      <w:r w:rsidR="0024505B">
        <w:t xml:space="preserve">Therefore, the parties may logically agree that a work that is already </w:t>
      </w:r>
      <w:r w:rsidR="0024505B">
        <w:lastRenderedPageBreak/>
        <w:t>finished is, in the future, to be considered a work made for hire.</w:t>
      </w:r>
      <w:r w:rsidR="008B5BA6">
        <w:t xml:space="preserve"> </w:t>
      </w:r>
      <w:r w:rsidR="00E305AA">
        <w:t xml:space="preserve">Element (2) </w:t>
      </w:r>
      <w:r w:rsidR="00A824F1">
        <w:t>does not indicate whether the instrument must be signed before or after creation, mer</w:t>
      </w:r>
      <w:r w:rsidR="00BC14FD">
        <w:t>ely that such signing must occur to create work made for hire status</w:t>
      </w:r>
      <w:r w:rsidR="00F41531">
        <w:t xml:space="preserve"> in element (3)</w:t>
      </w:r>
      <w:r w:rsidR="00A824F1">
        <w:t xml:space="preserve">. </w:t>
      </w:r>
      <w:r w:rsidR="00B916A7">
        <w:t>Read together, these elements represent a movable, “relative”</w:t>
      </w:r>
      <w:r w:rsidR="00247628">
        <w:t xml:space="preserve"> timescale where agreement, execution of a written instrument, and the designation of work made for hire status may logically occur either before or after creation of the work</w:t>
      </w:r>
      <w:r w:rsidR="00BF1591">
        <w:t>.</w:t>
      </w:r>
      <w:r w:rsidR="009D4D8C">
        <w:t xml:space="preserve"> </w:t>
      </w:r>
      <w:r w:rsidR="00A137E0">
        <w:t>Thus, the Court should deny Defendants’ Motion to dismiss because the statute grammatically implies that pre-creation oral notice ratified by a post-creation written instrument meets the</w:t>
      </w:r>
      <w:r w:rsidR="004959B2">
        <w:t xml:space="preserve"> statutory requirement</w:t>
      </w:r>
      <w:r w:rsidR="00EE057B">
        <w:t xml:space="preserve"> for the screenplay to be legally considered a work made for hire.</w:t>
      </w:r>
    </w:p>
    <w:p w14:paraId="4A94285D" w14:textId="77777777" w:rsidR="005C2E01" w:rsidRPr="004816CF" w:rsidRDefault="00AA7F8E" w:rsidP="00AA7F8E">
      <w:pPr>
        <w:pStyle w:val="ListParagraph"/>
        <w:numPr>
          <w:ilvl w:val="1"/>
          <w:numId w:val="7"/>
        </w:numPr>
        <w:spacing w:line="240" w:lineRule="auto"/>
        <w:jc w:val="both"/>
      </w:pPr>
      <w:r>
        <w:rPr>
          <w:b/>
          <w:i/>
        </w:rPr>
        <w:t>The Statute</w:t>
      </w:r>
      <w:r w:rsidR="00DE2938">
        <w:rPr>
          <w:b/>
          <w:i/>
        </w:rPr>
        <w:t>, Read</w:t>
      </w:r>
      <w:r>
        <w:rPr>
          <w:b/>
          <w:i/>
        </w:rPr>
        <w:t xml:space="preserve"> in Its Entirety</w:t>
      </w:r>
      <w:r w:rsidR="00DE2938">
        <w:rPr>
          <w:b/>
          <w:i/>
        </w:rPr>
        <w:t>,</w:t>
      </w:r>
      <w:r>
        <w:rPr>
          <w:b/>
          <w:i/>
        </w:rPr>
        <w:t xml:space="preserve"> Implies the Parties Have Flexibility Regarding the Timing of the Signed Writing.</w:t>
      </w:r>
    </w:p>
    <w:p w14:paraId="30DD60FC" w14:textId="77777777" w:rsidR="004816CF" w:rsidRDefault="004816CF" w:rsidP="004816CF">
      <w:pPr>
        <w:spacing w:line="240" w:lineRule="auto"/>
        <w:jc w:val="both"/>
      </w:pPr>
    </w:p>
    <w:p w14:paraId="37DE7E49" w14:textId="77777777" w:rsidR="0034588E" w:rsidRDefault="007D01D3" w:rsidP="009C7C06">
      <w:pPr>
        <w:ind w:firstLine="720"/>
        <w:jc w:val="both"/>
      </w:pPr>
      <w:r>
        <w:t xml:space="preserve">In interpreting a statute, the Court should not merely be guided by a single sentence, but </w:t>
      </w:r>
      <w:r w:rsidR="00F624DE">
        <w:t xml:space="preserve">should </w:t>
      </w:r>
      <w:r>
        <w:t xml:space="preserve">look to all the provisions of the law in its entirety. </w:t>
      </w:r>
      <w:r>
        <w:rPr>
          <w:i/>
        </w:rPr>
        <w:t xml:space="preserve">Massachusetts v. </w:t>
      </w:r>
      <w:proofErr w:type="spellStart"/>
      <w:r>
        <w:rPr>
          <w:i/>
        </w:rPr>
        <w:t>Morash</w:t>
      </w:r>
      <w:proofErr w:type="spellEnd"/>
      <w:r w:rsidRPr="00EB3F81">
        <w:t>,</w:t>
      </w:r>
      <w:r>
        <w:rPr>
          <w:i/>
        </w:rPr>
        <w:t xml:space="preserve"> </w:t>
      </w:r>
      <w:r>
        <w:t xml:space="preserve">490 U.S. 107, 115 (1989). </w:t>
      </w:r>
      <w:r w:rsidR="00D57787">
        <w:t xml:space="preserve">The </w:t>
      </w:r>
      <w:r w:rsidR="00264E8D">
        <w:t xml:space="preserve">text of the provision establishing ownership in cases of works made for hire reads, “In the case of a work made for hire…the other person for whom the work is prepared is considered the author for purposes of this title, and, </w:t>
      </w:r>
      <w:r w:rsidR="00264E8D" w:rsidRPr="00715000">
        <w:t>unless the parties have expressly agreed otherwise in a written instrument signed by them</w:t>
      </w:r>
      <w:r w:rsidR="00264E8D">
        <w:t xml:space="preserve">, owns all the rights comprised in the </w:t>
      </w:r>
      <w:r w:rsidR="00264E8D" w:rsidRPr="00303A2A">
        <w:t>copyright</w:t>
      </w:r>
      <w:r w:rsidR="00264E8D">
        <w:t>.”</w:t>
      </w:r>
      <w:r w:rsidR="00D57787">
        <w:t xml:space="preserve"> </w:t>
      </w:r>
      <w:r w:rsidR="00264E8D">
        <w:t xml:space="preserve">Copyright Act of 1976, 17 U.S.C § 201 (2006). </w:t>
      </w:r>
    </w:p>
    <w:p w14:paraId="6D9F8F15" w14:textId="77777777" w:rsidR="004816CF" w:rsidRPr="00AA7F8E" w:rsidRDefault="00264E8D" w:rsidP="009C7C06">
      <w:pPr>
        <w:ind w:firstLine="720"/>
        <w:jc w:val="both"/>
      </w:pPr>
      <w:r>
        <w:t xml:space="preserve">The drafters’ use </w:t>
      </w:r>
      <w:r w:rsidR="00A4070C">
        <w:t xml:space="preserve">of </w:t>
      </w:r>
      <w:r w:rsidR="001B4F63">
        <w:t xml:space="preserve">the </w:t>
      </w:r>
      <w:r w:rsidR="00E72561">
        <w:t>present</w:t>
      </w:r>
      <w:r w:rsidR="00D57787">
        <w:t xml:space="preserve"> te</w:t>
      </w:r>
      <w:r w:rsidR="00CF54BC">
        <w:t>nse in this</w:t>
      </w:r>
      <w:r w:rsidR="00D57787">
        <w:t xml:space="preserve"> provision</w:t>
      </w:r>
      <w:r w:rsidR="00CF54BC">
        <w:t xml:space="preserve"> le</w:t>
      </w:r>
      <w:r w:rsidR="00D57787">
        <w:t>nds credence</w:t>
      </w:r>
      <w:r w:rsidR="00B708ED">
        <w:t xml:space="preserve"> to the interpretation that the timing of </w:t>
      </w:r>
      <w:r w:rsidR="0034588E">
        <w:t>the writing. T</w:t>
      </w:r>
      <w:r w:rsidR="004E13DB">
        <w:t>he most common meaning of “prepared” is “made ready”</w:t>
      </w:r>
      <w:r w:rsidR="007B0BEA">
        <w:t xml:space="preserve">. </w:t>
      </w:r>
      <w:r w:rsidR="00D57787">
        <w:rPr>
          <w:i/>
        </w:rPr>
        <w:t xml:space="preserve">Prepared </w:t>
      </w:r>
      <w:r w:rsidR="00D57787" w:rsidRPr="00BE6131">
        <w:rPr>
          <w:i/>
        </w:rPr>
        <w:t>Definition</w:t>
      </w:r>
      <w:r w:rsidR="00D57787">
        <w:t xml:space="preserve">, </w:t>
      </w:r>
      <w:r w:rsidR="00A227D4">
        <w:rPr>
          <w:smallCaps/>
        </w:rPr>
        <w:t xml:space="preserve">Oxford </w:t>
      </w:r>
      <w:r w:rsidR="00D57787">
        <w:rPr>
          <w:smallCaps/>
        </w:rPr>
        <w:t>English Dictionary Online</w:t>
      </w:r>
      <w:r w:rsidR="00D57787">
        <w:t xml:space="preserve">, </w:t>
      </w:r>
      <w:r w:rsidR="00D3533D" w:rsidRPr="00D3533D">
        <w:t xml:space="preserve"> </w:t>
      </w:r>
      <w:hyperlink r:id="rId9" w:history="1">
        <w:r w:rsidR="00D3533D" w:rsidRPr="00D3533D">
          <w:rPr>
            <w:rStyle w:val="Hyperlink"/>
          </w:rPr>
          <w:t>http://oed.com/view/Entry/</w:t>
        </w:r>
        <w:r w:rsidR="00D57787" w:rsidRPr="00D3533D">
          <w:rPr>
            <w:rStyle w:val="Hyperlink"/>
          </w:rPr>
          <w:t>150448</w:t>
        </w:r>
      </w:hyperlink>
      <w:r w:rsidR="00D57787">
        <w:t xml:space="preserve"> (last visited February 25, 2012). </w:t>
      </w:r>
      <w:r w:rsidR="001C737D">
        <w:t>If Congress had rendered this phrase in the future tense, “to be prepared”, then logically the execution of the signed writing would have to predate creation of the work. Instead, thi</w:t>
      </w:r>
      <w:r w:rsidR="00EB16E3">
        <w:t>s language reveals Congress’</w:t>
      </w:r>
      <w:r w:rsidR="001C737D">
        <w:t xml:space="preserve"> intent not to mandate a rigid pre-creation writing requirement, consistent with its choice of language in § 101, </w:t>
      </w:r>
      <w:r w:rsidR="001C737D" w:rsidRPr="001C737D">
        <w:rPr>
          <w:i/>
        </w:rPr>
        <w:t>supra</w:t>
      </w:r>
      <w:r w:rsidR="00A7636C">
        <w:t xml:space="preserve">. </w:t>
      </w:r>
      <w:r w:rsidR="00D57787" w:rsidRPr="00BE6131">
        <w:t>Therefore</w:t>
      </w:r>
      <w:r w:rsidR="00D57787">
        <w:t xml:space="preserve">, </w:t>
      </w:r>
      <w:r w:rsidR="00FF23C5">
        <w:t xml:space="preserve">the Court </w:t>
      </w:r>
      <w:r w:rsidR="00FF23C5">
        <w:lastRenderedPageBreak/>
        <w:t xml:space="preserve">should deny Defendants’ Motion to Dismiss because </w:t>
      </w:r>
      <w:r w:rsidR="00D57787">
        <w:t>a written instrument executed</w:t>
      </w:r>
      <w:r w:rsidR="00B07A6D">
        <w:t xml:space="preserve"> before, during, or after</w:t>
      </w:r>
      <w:r w:rsidR="00D57787">
        <w:t xml:space="preserve"> the </w:t>
      </w:r>
      <w:r w:rsidR="00E03E4A">
        <w:t>creation</w:t>
      </w:r>
      <w:r w:rsidR="00D57787">
        <w:t xml:space="preserve"> of the work is valid when read in the context of the entire statute.</w:t>
      </w:r>
    </w:p>
    <w:p w14:paraId="1D410D4B" w14:textId="77777777" w:rsidR="005D1A32" w:rsidRDefault="005D1A32" w:rsidP="005D1A32">
      <w:pPr>
        <w:pStyle w:val="ListParagraph"/>
        <w:numPr>
          <w:ilvl w:val="0"/>
          <w:numId w:val="7"/>
        </w:numPr>
        <w:spacing w:line="240" w:lineRule="auto"/>
        <w:jc w:val="both"/>
        <w:rPr>
          <w:b/>
        </w:rPr>
      </w:pPr>
      <w:r>
        <w:rPr>
          <w:b/>
        </w:rPr>
        <w:t>THE</w:t>
      </w:r>
      <w:r w:rsidR="00E93C1F">
        <w:rPr>
          <w:b/>
        </w:rPr>
        <w:t xml:space="preserve"> CANONS OF STATUTORY INTERPRETA</w:t>
      </w:r>
      <w:r>
        <w:rPr>
          <w:b/>
        </w:rPr>
        <w:t>T</w:t>
      </w:r>
      <w:r w:rsidR="00E93C1F">
        <w:rPr>
          <w:b/>
        </w:rPr>
        <w:t>I</w:t>
      </w:r>
      <w:r>
        <w:rPr>
          <w:b/>
        </w:rPr>
        <w:t>ON FAVOR FLEXIBILITY FOR THE TIMING OF THE SIGNED WRITING.</w:t>
      </w:r>
    </w:p>
    <w:p w14:paraId="63A7C90A" w14:textId="77777777" w:rsidR="005D1A32" w:rsidRDefault="005D1A32" w:rsidP="005D1A32">
      <w:pPr>
        <w:pStyle w:val="ListParagraph"/>
        <w:spacing w:line="240" w:lineRule="auto"/>
        <w:ind w:left="1080"/>
        <w:jc w:val="both"/>
        <w:rPr>
          <w:b/>
        </w:rPr>
      </w:pPr>
    </w:p>
    <w:p w14:paraId="36D879D2" w14:textId="77777777" w:rsidR="00656981" w:rsidRPr="00271BC7" w:rsidRDefault="00390E96" w:rsidP="00493FCA">
      <w:pPr>
        <w:ind w:firstLine="720"/>
        <w:jc w:val="both"/>
      </w:pPr>
      <w:r>
        <w:t>The canons of statutory interpretation reveal that Congress intended to allow</w:t>
      </w:r>
      <w:r w:rsidR="00271BC7">
        <w:t xml:space="preserve"> the written instrument to be executed either before or subsequent to the crea</w:t>
      </w:r>
      <w:r>
        <w:t>tion of the work</w:t>
      </w:r>
      <w:r w:rsidR="00271BC7">
        <w:t xml:space="preserve"> </w:t>
      </w:r>
      <w:r>
        <w:t xml:space="preserve">because </w:t>
      </w:r>
      <w:r w:rsidR="00271BC7">
        <w:t>Congress made a deliberate choice not to inc</w:t>
      </w:r>
      <w:r w:rsidR="0039112A">
        <w:t xml:space="preserve">lude a timing requirement, </w:t>
      </w:r>
      <w:r w:rsidR="00AA79DC">
        <w:t xml:space="preserve">and because </w:t>
      </w:r>
      <w:r w:rsidR="00271BC7">
        <w:t xml:space="preserve">Congress </w:t>
      </w:r>
      <w:r w:rsidR="00271BC7">
        <w:rPr>
          <w:i/>
        </w:rPr>
        <w:t>did</w:t>
      </w:r>
      <w:r w:rsidR="00271BC7">
        <w:t xml:space="preserve"> mandate a timed writing for a different pro</w:t>
      </w:r>
      <w:r w:rsidR="00A03D00">
        <w:t>vision of the</w:t>
      </w:r>
      <w:r w:rsidR="00AA79DC">
        <w:t xml:space="preserve"> statute</w:t>
      </w:r>
      <w:r w:rsidR="00271BC7">
        <w:t>.</w:t>
      </w:r>
    </w:p>
    <w:p w14:paraId="29C64A6D" w14:textId="77777777" w:rsidR="005D1A32" w:rsidRPr="00193A15" w:rsidRDefault="005D1A32" w:rsidP="005D1A32">
      <w:pPr>
        <w:pStyle w:val="ListParagraph"/>
        <w:numPr>
          <w:ilvl w:val="1"/>
          <w:numId w:val="7"/>
        </w:numPr>
        <w:spacing w:line="240" w:lineRule="auto"/>
        <w:jc w:val="both"/>
        <w:rPr>
          <w:b/>
        </w:rPr>
      </w:pPr>
      <w:r>
        <w:rPr>
          <w:b/>
          <w:i/>
        </w:rPr>
        <w:t>Under the Doctrine of “Negative Implication” the Court Should Assume that Congress Made a Deliberate Choice in Not Specifying a Time Requirement for the Writing.</w:t>
      </w:r>
    </w:p>
    <w:p w14:paraId="372208F8" w14:textId="77777777" w:rsidR="005D1A32" w:rsidRPr="00252C53" w:rsidRDefault="005D1A32" w:rsidP="005D1A32">
      <w:pPr>
        <w:pStyle w:val="ListParagraph"/>
        <w:spacing w:line="240" w:lineRule="auto"/>
        <w:ind w:left="1440"/>
        <w:jc w:val="both"/>
        <w:rPr>
          <w:b/>
        </w:rPr>
      </w:pPr>
    </w:p>
    <w:p w14:paraId="2FBEF5F9" w14:textId="77777777" w:rsidR="00910367" w:rsidRDefault="003E231A" w:rsidP="00CE2284">
      <w:pPr>
        <w:ind w:firstLine="720"/>
        <w:jc w:val="both"/>
      </w:pPr>
      <w:r>
        <w:t>Congress knows how to include a specific statutory requirement when that is its intent</w:t>
      </w:r>
      <w:r w:rsidR="00513E6E">
        <w:t>; the absence of such a re</w:t>
      </w:r>
      <w:r w:rsidR="00B77335">
        <w:t xml:space="preserve">quirement </w:t>
      </w:r>
      <w:r w:rsidR="00513E6E">
        <w:t>implies it does not exist</w:t>
      </w:r>
      <w:r w:rsidR="005D1A32">
        <w:t xml:space="preserve">. </w:t>
      </w:r>
      <w:r w:rsidR="00207D71">
        <w:rPr>
          <w:i/>
        </w:rPr>
        <w:t xml:space="preserve">See </w:t>
      </w:r>
      <w:r>
        <w:rPr>
          <w:i/>
        </w:rPr>
        <w:t xml:space="preserve">Central Bank of Denver, N.A. v. </w:t>
      </w:r>
      <w:proofErr w:type="gramStart"/>
      <w:r>
        <w:rPr>
          <w:i/>
        </w:rPr>
        <w:t>First Interstate Bank of Denver</w:t>
      </w:r>
      <w:r w:rsidRPr="00EB3F81">
        <w:t>,</w:t>
      </w:r>
      <w:r>
        <w:rPr>
          <w:i/>
        </w:rPr>
        <w:t xml:space="preserve"> N.A. </w:t>
      </w:r>
      <w:r>
        <w:t>511 U.S. 164, 183 (1994).</w:t>
      </w:r>
      <w:proofErr w:type="gramEnd"/>
      <w:r>
        <w:t xml:space="preserve"> </w:t>
      </w:r>
      <w:r w:rsidR="00163915">
        <w:t>T</w:t>
      </w:r>
      <w:r w:rsidR="005D1A32">
        <w:t>he fact that Congress did not include specific time requirements for the signed writing in th</w:t>
      </w:r>
      <w:r w:rsidR="00207D71">
        <w:t>e statutory text demonstrate</w:t>
      </w:r>
      <w:r w:rsidR="0091558E">
        <w:t>s</w:t>
      </w:r>
      <w:r w:rsidR="005D1A32">
        <w:t xml:space="preserve"> that Congress did not intend to mandate a pre-creation written instrument. </w:t>
      </w:r>
      <w:r w:rsidR="002571C8">
        <w:rPr>
          <w:i/>
        </w:rPr>
        <w:t xml:space="preserve">See </w:t>
      </w:r>
      <w:r w:rsidR="005D1A32">
        <w:rPr>
          <w:i/>
        </w:rPr>
        <w:t>Playboy Enterprises, Inc.</w:t>
      </w:r>
      <w:r w:rsidR="005D1A32">
        <w:t>, 53 F.3d at 559.</w:t>
      </w:r>
      <w:r w:rsidR="00925EEB">
        <w:t xml:space="preserve"> </w:t>
      </w:r>
      <w:r w:rsidR="003F4DD9">
        <w:t>This</w:t>
      </w:r>
      <w:r w:rsidR="00375183">
        <w:t xml:space="preserve"> negative</w:t>
      </w:r>
      <w:r w:rsidR="003F4DD9">
        <w:t xml:space="preserve"> inference </w:t>
      </w:r>
      <w:r w:rsidR="00827C6C">
        <w:t xml:space="preserve">is particularly appropriate </w:t>
      </w:r>
      <w:r w:rsidR="00375183">
        <w:t xml:space="preserve">here </w:t>
      </w:r>
      <w:r w:rsidR="00827C6C">
        <w:t>be</w:t>
      </w:r>
      <w:r w:rsidR="00375183">
        <w:t xml:space="preserve">cause reading a pre-creation timing requirement into the statute would create an artificial </w:t>
      </w:r>
      <w:r w:rsidR="00936B83">
        <w:t xml:space="preserve">loophole </w:t>
      </w:r>
      <w:r w:rsidR="0076006B">
        <w:t>that would allow parties</w:t>
      </w:r>
      <w:r w:rsidR="00375183">
        <w:t xml:space="preserve"> to</w:t>
      </w:r>
      <w:r w:rsidR="00827C6C">
        <w:t xml:space="preserve"> rescin</w:t>
      </w:r>
      <w:r w:rsidR="00E3292E">
        <w:t xml:space="preserve">d </w:t>
      </w:r>
      <w:r w:rsidR="00375183">
        <w:t>written instrument</w:t>
      </w:r>
      <w:r w:rsidR="00E3292E">
        <w:t>s that they</w:t>
      </w:r>
      <w:r w:rsidR="00375183">
        <w:t xml:space="preserve"> mutually understood to confer authorship </w:t>
      </w:r>
      <w:r w:rsidR="00784C4D">
        <w:t>up</w:t>
      </w:r>
      <w:r w:rsidR="00375183">
        <w:t>on the commissioner of the work</w:t>
      </w:r>
      <w:r w:rsidR="00827C6C">
        <w:t xml:space="preserve">. </w:t>
      </w:r>
      <w:r w:rsidR="003A4ED8">
        <w:t>The Court should decline to create this looph</w:t>
      </w:r>
      <w:r w:rsidR="00B07BF6">
        <w:t xml:space="preserve">ole because </w:t>
      </w:r>
      <w:r w:rsidR="00253AB2">
        <w:t xml:space="preserve">it represents an </w:t>
      </w:r>
      <w:r w:rsidR="007B026D">
        <w:t>inorganic</w:t>
      </w:r>
      <w:r w:rsidR="00CE641E">
        <w:t xml:space="preserve"> and unjust</w:t>
      </w:r>
      <w:r w:rsidR="007B026D">
        <w:t xml:space="preserve"> </w:t>
      </w:r>
      <w:r w:rsidR="00B579A8">
        <w:t>modification to</w:t>
      </w:r>
      <w:r w:rsidR="00D94E21">
        <w:t xml:space="preserve"> Congress’ </w:t>
      </w:r>
      <w:r w:rsidR="003A4ED8">
        <w:t>deliberatel</w:t>
      </w:r>
      <w:r w:rsidR="00527691">
        <w:t>y selected language</w:t>
      </w:r>
      <w:r w:rsidR="00040E81">
        <w:t>.</w:t>
      </w:r>
    </w:p>
    <w:p w14:paraId="4BEF302A" w14:textId="77777777" w:rsidR="00336572" w:rsidRPr="00B07A6D" w:rsidRDefault="00654C19" w:rsidP="005D1A32">
      <w:pPr>
        <w:pStyle w:val="ListParagraph"/>
        <w:numPr>
          <w:ilvl w:val="1"/>
          <w:numId w:val="7"/>
        </w:numPr>
        <w:spacing w:line="240" w:lineRule="auto"/>
        <w:jc w:val="both"/>
        <w:rPr>
          <w:b/>
        </w:rPr>
      </w:pPr>
      <w:r>
        <w:rPr>
          <w:b/>
          <w:i/>
        </w:rPr>
        <w:t>The</w:t>
      </w:r>
      <w:r w:rsidR="00DD23A6">
        <w:rPr>
          <w:b/>
          <w:i/>
        </w:rPr>
        <w:t xml:space="preserve"> Maxim “</w:t>
      </w:r>
      <w:r w:rsidR="00DD23A6" w:rsidRPr="00992B70">
        <w:rPr>
          <w:b/>
        </w:rPr>
        <w:t>Expressio Unius Est Exclusio Alterius</w:t>
      </w:r>
      <w:r w:rsidR="00DD23A6">
        <w:rPr>
          <w:b/>
          <w:i/>
        </w:rPr>
        <w:t xml:space="preserve">” Implies That Congress Did Not Intend to Create a Strict Pre-Creation Writing Requirement. </w:t>
      </w:r>
    </w:p>
    <w:p w14:paraId="3217ABE0" w14:textId="77777777" w:rsidR="00B07A6D" w:rsidRPr="00DD23A6" w:rsidRDefault="00B07A6D" w:rsidP="00B07A6D">
      <w:pPr>
        <w:pStyle w:val="ListParagraph"/>
        <w:spacing w:line="240" w:lineRule="auto"/>
        <w:ind w:left="1440"/>
        <w:jc w:val="both"/>
        <w:rPr>
          <w:b/>
        </w:rPr>
      </w:pPr>
    </w:p>
    <w:p w14:paraId="51298A70" w14:textId="77777777" w:rsidR="00DD23A6" w:rsidRPr="00AE373C" w:rsidRDefault="00DD23A6" w:rsidP="00527691">
      <w:pPr>
        <w:ind w:firstLine="720"/>
        <w:jc w:val="both"/>
      </w:pPr>
      <w:r>
        <w:rPr>
          <w:i/>
        </w:rPr>
        <w:t>Expressio unius</w:t>
      </w:r>
      <w:r>
        <w:t xml:space="preserve"> </w:t>
      </w:r>
      <w:proofErr w:type="gramStart"/>
      <w:r>
        <w:rPr>
          <w:i/>
        </w:rPr>
        <w:t>est</w:t>
      </w:r>
      <w:proofErr w:type="gramEnd"/>
      <w:r>
        <w:rPr>
          <w:i/>
        </w:rPr>
        <w:t xml:space="preserve"> exclusio alterius </w:t>
      </w:r>
      <w:r w:rsidR="009E6A51">
        <w:t>means that the expression of one term excludes others.</w:t>
      </w:r>
      <w:r w:rsidR="00051067">
        <w:rPr>
          <w:i/>
        </w:rPr>
        <w:t xml:space="preserve"> Ford v. United States</w:t>
      </w:r>
      <w:r w:rsidR="00051067">
        <w:t>, 237 U.S. 593, 610 (1927)</w:t>
      </w:r>
      <w:r w:rsidR="009E6A51">
        <w:t xml:space="preserve">. This canon applies where the items </w:t>
      </w:r>
      <w:r w:rsidR="009E6A51">
        <w:lastRenderedPageBreak/>
        <w:t xml:space="preserve">expressed are of an “associated group or series” that allows the justifiable inference that the items were excluded intentionally rather than by inadvertence. </w:t>
      </w:r>
      <w:proofErr w:type="gramStart"/>
      <w:r w:rsidR="00AB33C0">
        <w:rPr>
          <w:i/>
        </w:rPr>
        <w:t>Barnhart v. Peabody Coal Co.</w:t>
      </w:r>
      <w:r w:rsidR="00AB33C0" w:rsidRPr="00EB3F81">
        <w:t>,</w:t>
      </w:r>
      <w:r w:rsidR="00AB33C0">
        <w:rPr>
          <w:i/>
        </w:rPr>
        <w:t xml:space="preserve"> </w:t>
      </w:r>
      <w:r w:rsidR="00AB33C0">
        <w:t>537 U.S. 149</w:t>
      </w:r>
      <w:r w:rsidR="00822364">
        <w:t>, 169</w:t>
      </w:r>
      <w:r w:rsidR="00AB33C0">
        <w:t xml:space="preserve"> (2003).</w:t>
      </w:r>
      <w:proofErr w:type="gramEnd"/>
      <w:r w:rsidR="00AB33C0">
        <w:t xml:space="preserve"> </w:t>
      </w:r>
      <w:r w:rsidR="008C08BA">
        <w:t xml:space="preserve">The canon of </w:t>
      </w:r>
      <w:r w:rsidR="00F02CE9">
        <w:rPr>
          <w:i/>
        </w:rPr>
        <w:t xml:space="preserve">expressio unius </w:t>
      </w:r>
      <w:r w:rsidR="008C08BA">
        <w:t xml:space="preserve">applies </w:t>
      </w:r>
      <w:r w:rsidR="00F02CE9">
        <w:t xml:space="preserve">where it is fair to say that Congress considered the unexpressed item and meant not to include it. </w:t>
      </w:r>
      <w:r w:rsidR="00F02CE9">
        <w:rPr>
          <w:i/>
        </w:rPr>
        <w:t>United Dominion Industries, Inc. v. United States</w:t>
      </w:r>
      <w:r w:rsidR="00F02CE9" w:rsidRPr="00EB3F81">
        <w:t>,</w:t>
      </w:r>
      <w:r w:rsidR="00F02CE9">
        <w:rPr>
          <w:i/>
        </w:rPr>
        <w:t xml:space="preserve"> </w:t>
      </w:r>
      <w:r w:rsidR="00F02CE9">
        <w:t>532 U.S. 822, 836</w:t>
      </w:r>
      <w:r w:rsidR="009A34FB">
        <w:t xml:space="preserve"> (2001).</w:t>
      </w:r>
      <w:r w:rsidR="00F02CE9">
        <w:t xml:space="preserve"> </w:t>
      </w:r>
      <w:r w:rsidR="00794AA0">
        <w:t>T</w:t>
      </w:r>
      <w:r w:rsidR="001078CF">
        <w:t xml:space="preserve">he Act does not provide a specific time requirement for executing a written instrument to validate a transfer of copyright ownership. </w:t>
      </w:r>
      <w:r w:rsidR="0035264B">
        <w:t xml:space="preserve">Copyright Act of 1976, </w:t>
      </w:r>
      <w:r w:rsidR="001078CF">
        <w:t xml:space="preserve">17 </w:t>
      </w:r>
      <w:r w:rsidR="00FE486C">
        <w:t>U.S.C</w:t>
      </w:r>
      <w:r w:rsidR="001078CF">
        <w:t xml:space="preserve">. </w:t>
      </w:r>
      <w:r w:rsidR="0035264B">
        <w:t>§ 204</w:t>
      </w:r>
      <w:r w:rsidR="002926A4">
        <w:t xml:space="preserve"> (2006)</w:t>
      </w:r>
      <w:r w:rsidR="0035264B">
        <w:t>.</w:t>
      </w:r>
      <w:r w:rsidR="00FB4F63">
        <w:t xml:space="preserve"> </w:t>
      </w:r>
      <w:r w:rsidR="005F4B36">
        <w:t xml:space="preserve"> By contrast, the Act mandates that a terminatio</w:t>
      </w:r>
      <w:r w:rsidR="00910E05">
        <w:t>n of a license of copyright</w:t>
      </w:r>
      <w:r w:rsidR="005F4B36">
        <w:t xml:space="preserve"> “shall be effected by serving an </w:t>
      </w:r>
      <w:r w:rsidR="005F4B36" w:rsidRPr="00063B7A">
        <w:rPr>
          <w:i/>
        </w:rPr>
        <w:t>advance</w:t>
      </w:r>
      <w:r w:rsidR="005F4B36">
        <w:t xml:space="preserve"> notice in writing.” </w:t>
      </w:r>
      <w:r w:rsidR="00063B7A">
        <w:t>(</w:t>
      </w:r>
      <w:proofErr w:type="gramStart"/>
      <w:r w:rsidR="00063B7A">
        <w:t>emphasis</w:t>
      </w:r>
      <w:proofErr w:type="gramEnd"/>
      <w:r w:rsidR="00063B7A">
        <w:t xml:space="preserve"> added) </w:t>
      </w:r>
      <w:proofErr w:type="gramStart"/>
      <w:r w:rsidR="005F4B36">
        <w:rPr>
          <w:i/>
        </w:rPr>
        <w:t xml:space="preserve">Id. </w:t>
      </w:r>
      <w:r w:rsidR="005F4B36">
        <w:t>§ 203.</w:t>
      </w:r>
      <w:proofErr w:type="gramEnd"/>
      <w:r w:rsidR="005F4B36">
        <w:t xml:space="preserve"> </w:t>
      </w:r>
      <w:r w:rsidR="007F32D2">
        <w:t>These different parts of the statute constitute an “associated group” because they concern writing re</w:t>
      </w:r>
      <w:r w:rsidR="00676502">
        <w:t>quirements necessary to a</w:t>
      </w:r>
      <w:r w:rsidR="007F32D2">
        <w:t>ffect the transfer o</w:t>
      </w:r>
      <w:r w:rsidR="00AD4183">
        <w:t>f copyright</w:t>
      </w:r>
      <w:r w:rsidR="00C04285">
        <w:t xml:space="preserve">s under the statute. </w:t>
      </w:r>
      <w:r w:rsidR="00AE373C">
        <w:t xml:space="preserve">Given that Congress chose to mandate the writing requirement take place before termination in the case of derivative works, it is fair to say that Congress did </w:t>
      </w:r>
      <w:r w:rsidR="00AE373C">
        <w:rPr>
          <w:i/>
        </w:rPr>
        <w:t xml:space="preserve">not </w:t>
      </w:r>
      <w:r w:rsidR="00AE373C">
        <w:t>intend to mandate a similar requirement in the</w:t>
      </w:r>
      <w:r w:rsidR="00E378CF">
        <w:t xml:space="preserve"> context of works made for hire, and t</w:t>
      </w:r>
      <w:r w:rsidR="00D1010E">
        <w:t>herefore, the Court should deny Defendants’</w:t>
      </w:r>
      <w:r w:rsidR="00C570D1">
        <w:t xml:space="preserve"> Motion to Dismiss.</w:t>
      </w:r>
    </w:p>
    <w:p w14:paraId="41B0D144" w14:textId="77777777" w:rsidR="003671FC" w:rsidRDefault="00CD06AD" w:rsidP="0088611E">
      <w:pPr>
        <w:pStyle w:val="ListParagraph"/>
        <w:numPr>
          <w:ilvl w:val="0"/>
          <w:numId w:val="7"/>
        </w:numPr>
        <w:spacing w:line="240" w:lineRule="auto"/>
        <w:jc w:val="both"/>
        <w:rPr>
          <w:b/>
        </w:rPr>
      </w:pPr>
      <w:r w:rsidRPr="0088611E">
        <w:rPr>
          <w:b/>
        </w:rPr>
        <w:t>LE</w:t>
      </w:r>
      <w:r w:rsidR="00AA79DC">
        <w:rPr>
          <w:b/>
        </w:rPr>
        <w:t>GISLATIVE HISTORY ALSO PROVIDES</w:t>
      </w:r>
      <w:r w:rsidR="007229D7">
        <w:rPr>
          <w:b/>
        </w:rPr>
        <w:t xml:space="preserve"> </w:t>
      </w:r>
      <w:r w:rsidR="00AA79DC">
        <w:rPr>
          <w:b/>
        </w:rPr>
        <w:t xml:space="preserve">FOR </w:t>
      </w:r>
      <w:r w:rsidR="007229D7">
        <w:rPr>
          <w:b/>
        </w:rPr>
        <w:t>A FLEXIBLE WRITING REQUIREMENT BECAUSE IT GIVES FULL EFFECT TO THE COMPROMISE FORGED BY ADVERSE PARTIES DURING THE DRAFTING PROCESS</w:t>
      </w:r>
      <w:r w:rsidR="003671FC">
        <w:rPr>
          <w:b/>
        </w:rPr>
        <w:t>.</w:t>
      </w:r>
    </w:p>
    <w:p w14:paraId="3758EABB" w14:textId="77777777" w:rsidR="003671FC" w:rsidRDefault="003671FC" w:rsidP="00AA7867">
      <w:pPr>
        <w:spacing w:line="240" w:lineRule="auto"/>
        <w:ind w:left="720"/>
        <w:jc w:val="both"/>
      </w:pPr>
    </w:p>
    <w:p w14:paraId="6931D748" w14:textId="77777777" w:rsidR="00AA7867" w:rsidRPr="00AA7867" w:rsidRDefault="00AA7867" w:rsidP="00CE2284">
      <w:pPr>
        <w:ind w:firstLine="720"/>
        <w:jc w:val="both"/>
      </w:pPr>
      <w:r>
        <w:t xml:space="preserve">Legislative history favors an interpretation of the Act that allows for a flexible writing requirement because </w:t>
      </w:r>
      <w:r w:rsidR="00DE4B44">
        <w:t>the Court should not disturb the delicate compromise Congress crafted to reconcile the interests of</w:t>
      </w:r>
      <w:r>
        <w:t xml:space="preserve"> interest groups</w:t>
      </w:r>
      <w:r w:rsidR="00DE4B44">
        <w:t xml:space="preserve"> implicated by the law</w:t>
      </w:r>
      <w:r>
        <w:t xml:space="preserve">, </w:t>
      </w:r>
      <w:r w:rsidR="00867738">
        <w:t xml:space="preserve">a flexible writing requirement gives effect to </w:t>
      </w:r>
      <w:r>
        <w:t xml:space="preserve">the purpose of the act, and </w:t>
      </w:r>
      <w:r w:rsidR="00E7534B">
        <w:t xml:space="preserve">because </w:t>
      </w:r>
      <w:r w:rsidR="00CD0F9D">
        <w:t xml:space="preserve">the record </w:t>
      </w:r>
      <w:r w:rsidR="000E5926">
        <w:t>shows that Congress deliberated on the</w:t>
      </w:r>
      <w:r w:rsidR="00CD0F9D">
        <w:t xml:space="preserve"> matter of whether to include a timed requirement and opted not to </w:t>
      </w:r>
      <w:r w:rsidR="00811FB3">
        <w:t>do so</w:t>
      </w:r>
      <w:r w:rsidR="00402DA4">
        <w:t>.</w:t>
      </w:r>
    </w:p>
    <w:p w14:paraId="381CCCB5" w14:textId="77777777" w:rsidR="005D1A32" w:rsidRPr="003671FC" w:rsidRDefault="003671FC" w:rsidP="003671FC">
      <w:pPr>
        <w:pStyle w:val="ListParagraph"/>
        <w:numPr>
          <w:ilvl w:val="1"/>
          <w:numId w:val="7"/>
        </w:numPr>
        <w:spacing w:line="240" w:lineRule="auto"/>
        <w:jc w:val="both"/>
        <w:rPr>
          <w:b/>
          <w:i/>
        </w:rPr>
      </w:pPr>
      <w:r>
        <w:rPr>
          <w:b/>
          <w:i/>
        </w:rPr>
        <w:t xml:space="preserve">The Act Should Be Interpreted Literally by the Court to Maintain the Balance of Interests </w:t>
      </w:r>
      <w:r w:rsidR="00AA7867">
        <w:rPr>
          <w:b/>
          <w:i/>
        </w:rPr>
        <w:t>of the Implicated Parties.</w:t>
      </w:r>
    </w:p>
    <w:p w14:paraId="43E616A4" w14:textId="77777777" w:rsidR="005D1A32" w:rsidRDefault="005D1A32" w:rsidP="005D1A32">
      <w:pPr>
        <w:pStyle w:val="ListParagraph"/>
        <w:spacing w:line="240" w:lineRule="auto"/>
        <w:ind w:left="1440"/>
        <w:jc w:val="both"/>
        <w:rPr>
          <w:b/>
        </w:rPr>
      </w:pPr>
    </w:p>
    <w:p w14:paraId="6CFF7814" w14:textId="77777777" w:rsidR="005D1A32" w:rsidRPr="00200630" w:rsidRDefault="00E64E17" w:rsidP="00200630">
      <w:pPr>
        <w:ind w:firstLine="720"/>
        <w:jc w:val="both"/>
        <w:rPr>
          <w:bCs/>
          <w:color w:val="000000"/>
          <w:szCs w:val="20"/>
          <w:shd w:val="clear" w:color="auto" w:fill="FFFFFF"/>
        </w:rPr>
      </w:pPr>
      <w:r>
        <w:lastRenderedPageBreak/>
        <w:t xml:space="preserve">Where legislation is the product of Congressional efforts to balance conflicting interests, the Court should adhere as closely as possible to what Congress has written in order to effectuate those compromises. </w:t>
      </w:r>
      <w:proofErr w:type="gramStart"/>
      <w:r>
        <w:rPr>
          <w:i/>
        </w:rPr>
        <w:t>Rodriguez v. Compass Shipping Co., Ltd.</w:t>
      </w:r>
      <w:r w:rsidRPr="00EB3F81">
        <w:t>,</w:t>
      </w:r>
      <w:r>
        <w:rPr>
          <w:i/>
        </w:rPr>
        <w:t xml:space="preserve"> </w:t>
      </w:r>
      <w:r>
        <w:t>451 U.S. 596, 617 (1981).</w:t>
      </w:r>
      <w:proofErr w:type="gramEnd"/>
      <w:r>
        <w:t xml:space="preserve"> </w:t>
      </w:r>
      <w:r w:rsidR="00945FF1">
        <w:t xml:space="preserve">The Supreme Court undertook an intensive review of the legislative history surrounding the works made for hire clause in its opinion in </w:t>
      </w:r>
      <w:r w:rsidR="00945FF1">
        <w:rPr>
          <w:i/>
        </w:rPr>
        <w:t xml:space="preserve">Community for Creative Non-Violence v. </w:t>
      </w:r>
      <w:r w:rsidR="00945FF1" w:rsidRPr="00945FF1">
        <w:rPr>
          <w:i/>
        </w:rPr>
        <w:t>Reid</w:t>
      </w:r>
      <w:r w:rsidR="00945FF1">
        <w:t>, 490 U.S. 730, 748 (1989)</w:t>
      </w:r>
      <w:r w:rsidR="00172464">
        <w:t>, describing the tenuous compromise between authors and publishers represented by the provision</w:t>
      </w:r>
      <w:r w:rsidR="00945FF1">
        <w:t xml:space="preserve">. </w:t>
      </w:r>
      <w:r w:rsidR="0095091F">
        <w:t>In that case, the Court</w:t>
      </w:r>
      <w:r w:rsidR="00233944">
        <w:t xml:space="preserve"> held that r</w:t>
      </w:r>
      <w:r w:rsidR="00D415CA" w:rsidRPr="00945FF1">
        <w:t>eading</w:t>
      </w:r>
      <w:r w:rsidR="00D415CA">
        <w:t xml:space="preserve"> words into the works m</w:t>
      </w:r>
      <w:r w:rsidR="00A472F2">
        <w:t>ade for hire provision would threaten</w:t>
      </w:r>
      <w:r w:rsidR="00D415CA">
        <w:t xml:space="preserve"> to</w:t>
      </w:r>
      <w:r w:rsidR="005D1A32">
        <w:t xml:space="preserve"> disturb the carefully wrought compromise the section represents. </w:t>
      </w:r>
      <w:r w:rsidR="005D1A32" w:rsidRPr="00193A15">
        <w:rPr>
          <w:i/>
        </w:rPr>
        <w:t xml:space="preserve">See </w:t>
      </w:r>
      <w:r w:rsidR="003524F2">
        <w:rPr>
          <w:i/>
        </w:rPr>
        <w:t>i</w:t>
      </w:r>
      <w:r w:rsidR="00371C3C">
        <w:rPr>
          <w:i/>
        </w:rPr>
        <w:t xml:space="preserve">d. </w:t>
      </w:r>
      <w:r w:rsidR="00E66B2B">
        <w:t>Here,</w:t>
      </w:r>
      <w:r w:rsidR="008A7F99">
        <w:t xml:space="preserve"> </w:t>
      </w:r>
      <w:r w:rsidR="00362B60">
        <w:t>since the plain text provides for flexible timing and reading a timing requirement into the statute would alter</w:t>
      </w:r>
      <w:r w:rsidR="008A7F99">
        <w:t xml:space="preserve"> Congress’ carefully selected language</w:t>
      </w:r>
      <w:r w:rsidR="001A682E">
        <w:t>, the Court should deny Defendants’ Motion to Dismiss.</w:t>
      </w:r>
      <w:r w:rsidR="008A7F99">
        <w:t xml:space="preserve"> </w:t>
      </w:r>
    </w:p>
    <w:p w14:paraId="1FAE83B0" w14:textId="77777777" w:rsidR="00DD23A6" w:rsidRPr="00DF7966" w:rsidRDefault="00DF7966" w:rsidP="00DF7966">
      <w:pPr>
        <w:pStyle w:val="ListParagraph"/>
        <w:numPr>
          <w:ilvl w:val="1"/>
          <w:numId w:val="7"/>
        </w:numPr>
        <w:spacing w:line="240" w:lineRule="auto"/>
        <w:jc w:val="both"/>
        <w:rPr>
          <w:bCs/>
          <w:color w:val="000000"/>
          <w:szCs w:val="20"/>
          <w:shd w:val="clear" w:color="auto" w:fill="FFFFFF"/>
        </w:rPr>
      </w:pPr>
      <w:r>
        <w:rPr>
          <w:b/>
          <w:bCs/>
          <w:i/>
          <w:color w:val="000000"/>
          <w:szCs w:val="20"/>
          <w:shd w:val="clear" w:color="auto" w:fill="FFFFFF"/>
        </w:rPr>
        <w:t>The Flexible Writing Requirement Supported by Ratification Fulfills the Spirit and Purpose of the Act as Described in the Legislative History.</w:t>
      </w:r>
    </w:p>
    <w:p w14:paraId="04FECA7D" w14:textId="77777777" w:rsidR="00DF7966" w:rsidRPr="00DF7966" w:rsidRDefault="00DF7966" w:rsidP="00DF7966">
      <w:pPr>
        <w:pStyle w:val="ListParagraph"/>
        <w:spacing w:line="240" w:lineRule="auto"/>
        <w:ind w:left="1440"/>
        <w:jc w:val="both"/>
        <w:rPr>
          <w:bCs/>
          <w:color w:val="000000"/>
          <w:szCs w:val="20"/>
          <w:shd w:val="clear" w:color="auto" w:fill="FFFFFF"/>
        </w:rPr>
      </w:pPr>
    </w:p>
    <w:p w14:paraId="3DAABED4" w14:textId="77777777" w:rsidR="006B0CAD" w:rsidRDefault="002217FB" w:rsidP="00DF7966">
      <w:pPr>
        <w:ind w:firstLine="720"/>
        <w:jc w:val="both"/>
        <w:rPr>
          <w:bCs/>
          <w:color w:val="000000"/>
          <w:szCs w:val="20"/>
          <w:shd w:val="clear" w:color="auto" w:fill="FFFFFF"/>
        </w:rPr>
      </w:pPr>
      <w:r>
        <w:t xml:space="preserve">In the interpreting statutes, the Court should construe the language so to give effect to Congressional intent. </w:t>
      </w:r>
      <w:proofErr w:type="gramStart"/>
      <w:r>
        <w:rPr>
          <w:i/>
        </w:rPr>
        <w:t>U</w:t>
      </w:r>
      <w:r w:rsidR="00262397">
        <w:rPr>
          <w:i/>
        </w:rPr>
        <w:t>nited States</w:t>
      </w:r>
      <w:r>
        <w:rPr>
          <w:i/>
        </w:rPr>
        <w:t xml:space="preserve"> v. American Trucking </w:t>
      </w:r>
      <w:proofErr w:type="spellStart"/>
      <w:r>
        <w:rPr>
          <w:i/>
        </w:rPr>
        <w:t>Ass’ns</w:t>
      </w:r>
      <w:proofErr w:type="spellEnd"/>
      <w:r w:rsidRPr="00EB3F81">
        <w:t>,</w:t>
      </w:r>
      <w:r>
        <w:rPr>
          <w:i/>
        </w:rPr>
        <w:t xml:space="preserve"> </w:t>
      </w:r>
      <w:r>
        <w:t>310 U.S. 534</w:t>
      </w:r>
      <w:r w:rsidR="003701FB">
        <w:t>, 542</w:t>
      </w:r>
      <w:r>
        <w:t xml:space="preserve"> (1940).</w:t>
      </w:r>
      <w:proofErr w:type="gramEnd"/>
      <w:r>
        <w:t xml:space="preserve"> Statutes should be interpreted reasonably to avoid unnecessary hardship. </w:t>
      </w:r>
      <w:proofErr w:type="gramStart"/>
      <w:r>
        <w:rPr>
          <w:i/>
        </w:rPr>
        <w:t>Burnet v. Guggenheim</w:t>
      </w:r>
      <w:r w:rsidRPr="00EB3F81">
        <w:t>,</w:t>
      </w:r>
      <w:r>
        <w:rPr>
          <w:i/>
        </w:rPr>
        <w:t xml:space="preserve"> </w:t>
      </w:r>
      <w:r>
        <w:t>288 U.S. 280, 28</w:t>
      </w:r>
      <w:r w:rsidR="00A574E4">
        <w:t>5</w:t>
      </w:r>
      <w:r>
        <w:t xml:space="preserve"> (1933).</w:t>
      </w:r>
      <w:proofErr w:type="gramEnd"/>
      <w:r>
        <w:t xml:space="preserve"> </w:t>
      </w:r>
      <w:r w:rsidR="00257457">
        <w:t>T</w:t>
      </w:r>
      <w:r w:rsidR="006B0CAD">
        <w:t xml:space="preserve">he </w:t>
      </w:r>
      <w:r w:rsidR="00257457">
        <w:t xml:space="preserve">primary </w:t>
      </w:r>
      <w:r w:rsidR="006B0CAD">
        <w:t>purpose of the writing requirement is to give the independent contractor notice that the</w:t>
      </w:r>
      <w:r w:rsidR="00004E1D">
        <w:t xml:space="preserve"> work created is to be for hire. </w:t>
      </w:r>
      <w:r w:rsidR="00684C51">
        <w:rPr>
          <w:i/>
        </w:rPr>
        <w:t xml:space="preserve">See </w:t>
      </w:r>
      <w:r w:rsidR="00004E1D">
        <w:rPr>
          <w:smallCaps/>
        </w:rPr>
        <w:t xml:space="preserve">H.R. Rep. No. 51-374, </w:t>
      </w:r>
      <w:r w:rsidR="00004E1D">
        <w:t xml:space="preserve">pt. 5, at 145 (1965). </w:t>
      </w:r>
      <w:r w:rsidR="00E76BDB">
        <w:t xml:space="preserve">The paramount purpose of the Copyright Act was to enhance predictability and certainty of copyright ownership. </w:t>
      </w:r>
      <w:proofErr w:type="gramStart"/>
      <w:r w:rsidR="00E76BDB">
        <w:t>490 U.S. 730 at 749.</w:t>
      </w:r>
      <w:proofErr w:type="gramEnd"/>
      <w:r w:rsidR="006B0CAD">
        <w:t xml:space="preserve"> </w:t>
      </w:r>
      <w:r w:rsidR="003A7265">
        <w:t>A p</w:t>
      </w:r>
      <w:r w:rsidR="00A47327">
        <w:t>ost-creation writing that ratifies</w:t>
      </w:r>
      <w:r w:rsidR="006B0CAD">
        <w:t xml:space="preserve"> a pre-creation oral agreement provides the same level o</w:t>
      </w:r>
      <w:r w:rsidR="006A7413">
        <w:t>f notice</w:t>
      </w:r>
      <w:r w:rsidR="00F76AA1">
        <w:t xml:space="preserve"> for the parties as well as</w:t>
      </w:r>
      <w:r w:rsidR="006B0CAD">
        <w:t xml:space="preserve"> additional flexibility in contracting. </w:t>
      </w:r>
      <w:r w:rsidR="006B0CAD">
        <w:rPr>
          <w:i/>
        </w:rPr>
        <w:t xml:space="preserve">Compaq Computer Corp. v. </w:t>
      </w:r>
      <w:proofErr w:type="spellStart"/>
      <w:r w:rsidR="006B0CAD">
        <w:rPr>
          <w:i/>
        </w:rPr>
        <w:t>Ergonome</w:t>
      </w:r>
      <w:proofErr w:type="spellEnd"/>
      <w:r w:rsidR="006B0CAD">
        <w:rPr>
          <w:i/>
        </w:rPr>
        <w:t>, Inc.</w:t>
      </w:r>
      <w:r w:rsidR="00EB3F81">
        <w:t>,</w:t>
      </w:r>
      <w:r w:rsidR="006B0CAD">
        <w:rPr>
          <w:i/>
        </w:rPr>
        <w:t xml:space="preserve"> </w:t>
      </w:r>
      <w:r w:rsidR="00B30C42">
        <w:t>210 F.Supp.2d 839, 843</w:t>
      </w:r>
      <w:r w:rsidR="00952DC8">
        <w:t xml:space="preserve"> (S.D. Tex. 2001)</w:t>
      </w:r>
      <w:r w:rsidR="00B30C42">
        <w:t>.</w:t>
      </w:r>
      <w:r w:rsidR="00200630">
        <w:t xml:space="preserve"> Here, Lime entered into the contract with full knowledge that the work was to be made for hire as per her arrangement with Nelson. (</w:t>
      </w:r>
      <w:proofErr w:type="spellStart"/>
      <w:r w:rsidR="00200630">
        <w:t>Compl</w:t>
      </w:r>
      <w:proofErr w:type="spellEnd"/>
      <w:r w:rsidR="00200630">
        <w:t xml:space="preserve">. </w:t>
      </w:r>
      <w:r w:rsidR="00200630" w:rsidRPr="00DF7966">
        <w:rPr>
          <w:b/>
          <w:bCs/>
          <w:color w:val="000000"/>
          <w:szCs w:val="20"/>
          <w:shd w:val="clear" w:color="auto" w:fill="FFFFFF"/>
        </w:rPr>
        <w:t xml:space="preserve">¶ </w:t>
      </w:r>
      <w:r w:rsidR="00200630" w:rsidRPr="00DF7966">
        <w:rPr>
          <w:bCs/>
          <w:color w:val="000000"/>
          <w:szCs w:val="20"/>
          <w:shd w:val="clear" w:color="auto" w:fill="FFFFFF"/>
        </w:rPr>
        <w:t xml:space="preserve">16.) </w:t>
      </w:r>
      <w:r w:rsidR="00F225A6">
        <w:rPr>
          <w:bCs/>
          <w:color w:val="000000"/>
          <w:szCs w:val="20"/>
          <w:shd w:val="clear" w:color="auto" w:fill="FFFFFF"/>
        </w:rPr>
        <w:t xml:space="preserve">The parties </w:t>
      </w:r>
      <w:r w:rsidR="004D1607">
        <w:rPr>
          <w:bCs/>
          <w:color w:val="000000"/>
          <w:szCs w:val="20"/>
          <w:shd w:val="clear" w:color="auto" w:fill="FFFFFF"/>
        </w:rPr>
        <w:t xml:space="preserve">thus </w:t>
      </w:r>
      <w:r w:rsidR="00F225A6">
        <w:rPr>
          <w:bCs/>
          <w:color w:val="000000"/>
          <w:szCs w:val="20"/>
          <w:shd w:val="clear" w:color="auto" w:fill="FFFFFF"/>
        </w:rPr>
        <w:t xml:space="preserve">fulfilled </w:t>
      </w:r>
      <w:r w:rsidR="00F225A6">
        <w:rPr>
          <w:bCs/>
          <w:color w:val="000000"/>
          <w:szCs w:val="20"/>
          <w:shd w:val="clear" w:color="auto" w:fill="FFFFFF"/>
        </w:rPr>
        <w:lastRenderedPageBreak/>
        <w:t>the spirit of the statute by concluding an oral agreement before Defendant began producing the work, and fulfilled the letter of the statute through their subsequent execution of the requisite written instrument</w:t>
      </w:r>
      <w:r w:rsidR="00E30BB3">
        <w:rPr>
          <w:bCs/>
          <w:color w:val="000000"/>
          <w:szCs w:val="20"/>
          <w:shd w:val="clear" w:color="auto" w:fill="FFFFFF"/>
        </w:rPr>
        <w:t xml:space="preserve"> immediately after creation had taken place</w:t>
      </w:r>
      <w:r w:rsidR="00F225A6">
        <w:rPr>
          <w:bCs/>
          <w:color w:val="000000"/>
          <w:szCs w:val="20"/>
          <w:shd w:val="clear" w:color="auto" w:fill="FFFFFF"/>
        </w:rPr>
        <w:t>.</w:t>
      </w:r>
      <w:r w:rsidR="00534000">
        <w:rPr>
          <w:bCs/>
          <w:color w:val="000000"/>
          <w:szCs w:val="20"/>
          <w:shd w:val="clear" w:color="auto" w:fill="FFFFFF"/>
        </w:rPr>
        <w:t xml:space="preserve"> </w:t>
      </w:r>
      <w:r w:rsidR="00A60890">
        <w:rPr>
          <w:bCs/>
          <w:color w:val="000000"/>
          <w:szCs w:val="20"/>
          <w:shd w:val="clear" w:color="auto" w:fill="FFFFFF"/>
        </w:rPr>
        <w:t>Requiring a rigid timing requ</w:t>
      </w:r>
      <w:r w:rsidR="00250E19">
        <w:rPr>
          <w:bCs/>
          <w:color w:val="000000"/>
          <w:szCs w:val="20"/>
          <w:shd w:val="clear" w:color="auto" w:fill="FFFFFF"/>
        </w:rPr>
        <w:t>irement not found in the text</w:t>
      </w:r>
      <w:r w:rsidR="003A4800">
        <w:rPr>
          <w:bCs/>
          <w:color w:val="000000"/>
          <w:szCs w:val="20"/>
          <w:shd w:val="clear" w:color="auto" w:fill="FFFFFF"/>
        </w:rPr>
        <w:t xml:space="preserve"> would create an unnecessary,</w:t>
      </w:r>
      <w:r w:rsidR="00250E19">
        <w:rPr>
          <w:bCs/>
          <w:color w:val="000000"/>
          <w:szCs w:val="20"/>
          <w:shd w:val="clear" w:color="auto" w:fill="FFFFFF"/>
        </w:rPr>
        <w:t xml:space="preserve"> a</w:t>
      </w:r>
      <w:r w:rsidR="00BB357B">
        <w:rPr>
          <w:bCs/>
          <w:color w:val="000000"/>
          <w:szCs w:val="20"/>
          <w:shd w:val="clear" w:color="auto" w:fill="FFFFFF"/>
        </w:rPr>
        <w:t>rbitrary barrier to contracting, and therefore the Court should deny Defendants’ Motion to Dismiss.</w:t>
      </w:r>
    </w:p>
    <w:p w14:paraId="5A67A54E" w14:textId="77777777" w:rsidR="007873D5" w:rsidRPr="00403D02" w:rsidRDefault="00DF7966" w:rsidP="00403D02">
      <w:pPr>
        <w:pStyle w:val="ListParagraph"/>
        <w:numPr>
          <w:ilvl w:val="1"/>
          <w:numId w:val="7"/>
        </w:numPr>
        <w:spacing w:line="240" w:lineRule="auto"/>
        <w:jc w:val="both"/>
        <w:rPr>
          <w:bCs/>
          <w:color w:val="000000"/>
          <w:szCs w:val="20"/>
          <w:shd w:val="clear" w:color="auto" w:fill="FFFFFF"/>
        </w:rPr>
      </w:pPr>
      <w:r>
        <w:rPr>
          <w:b/>
          <w:bCs/>
          <w:i/>
          <w:color w:val="000000"/>
          <w:szCs w:val="20"/>
          <w:shd w:val="clear" w:color="auto" w:fill="FFFFFF"/>
        </w:rPr>
        <w:t>The Court Should Assume That Congress Deliberately Chose Not to Mandate a P</w:t>
      </w:r>
      <w:r w:rsidR="001D5A23">
        <w:rPr>
          <w:b/>
          <w:bCs/>
          <w:i/>
          <w:color w:val="000000"/>
          <w:szCs w:val="20"/>
          <w:shd w:val="clear" w:color="auto" w:fill="FFFFFF"/>
        </w:rPr>
        <w:t>re-Creation Written Instrument b</w:t>
      </w:r>
      <w:r>
        <w:rPr>
          <w:b/>
          <w:bCs/>
          <w:i/>
          <w:color w:val="000000"/>
          <w:szCs w:val="20"/>
          <w:shd w:val="clear" w:color="auto" w:fill="FFFFFF"/>
        </w:rPr>
        <w:t>ecause Legislative History Shows That Congre</w:t>
      </w:r>
      <w:r w:rsidR="004A4AEB">
        <w:rPr>
          <w:b/>
          <w:bCs/>
          <w:i/>
          <w:color w:val="000000"/>
          <w:szCs w:val="20"/>
          <w:shd w:val="clear" w:color="auto" w:fill="FFFFFF"/>
        </w:rPr>
        <w:t>ss was Aware of the Possibility and Intentionally</w:t>
      </w:r>
      <w:r w:rsidR="00F85B77">
        <w:rPr>
          <w:b/>
          <w:bCs/>
          <w:i/>
          <w:color w:val="000000"/>
          <w:szCs w:val="20"/>
          <w:shd w:val="clear" w:color="auto" w:fill="FFFFFF"/>
        </w:rPr>
        <w:t xml:space="preserve"> Did Not Incorporate i</w:t>
      </w:r>
      <w:r w:rsidR="00B1632B">
        <w:rPr>
          <w:b/>
          <w:bCs/>
          <w:i/>
          <w:color w:val="000000"/>
          <w:szCs w:val="20"/>
          <w:shd w:val="clear" w:color="auto" w:fill="FFFFFF"/>
        </w:rPr>
        <w:t>t i</w:t>
      </w:r>
      <w:r>
        <w:rPr>
          <w:b/>
          <w:bCs/>
          <w:i/>
          <w:color w:val="000000"/>
          <w:szCs w:val="20"/>
          <w:shd w:val="clear" w:color="auto" w:fill="FFFFFF"/>
        </w:rPr>
        <w:t>nto the Text.</w:t>
      </w:r>
    </w:p>
    <w:p w14:paraId="553D7674" w14:textId="77777777" w:rsidR="00DF7966" w:rsidRPr="00DF7966" w:rsidRDefault="00DF7966" w:rsidP="00DF7966">
      <w:pPr>
        <w:pStyle w:val="ListParagraph"/>
        <w:spacing w:line="240" w:lineRule="auto"/>
        <w:ind w:left="1440"/>
        <w:jc w:val="both"/>
        <w:rPr>
          <w:bCs/>
          <w:color w:val="000000"/>
          <w:szCs w:val="20"/>
          <w:shd w:val="clear" w:color="auto" w:fill="FFFFFF"/>
        </w:rPr>
      </w:pPr>
    </w:p>
    <w:p w14:paraId="31F6272B" w14:textId="77777777" w:rsidR="00DF4119" w:rsidRDefault="005F057E" w:rsidP="00DF4119">
      <w:pPr>
        <w:ind w:firstLine="360"/>
        <w:jc w:val="both"/>
      </w:pPr>
      <w:r>
        <w:t>If Congress expressly consid</w:t>
      </w:r>
      <w:r w:rsidR="00DC550E">
        <w:t>ers</w:t>
      </w:r>
      <w:r>
        <w:t xml:space="preserve"> </w:t>
      </w:r>
      <w:r w:rsidR="00DC550E">
        <w:t xml:space="preserve">an </w:t>
      </w:r>
      <w:r>
        <w:t xml:space="preserve">item </w:t>
      </w:r>
      <w:r w:rsidR="00DC550E">
        <w:t>and chooses not to codify it into law, the Court should assume that Congress</w:t>
      </w:r>
      <w:r w:rsidR="00627916">
        <w:t xml:space="preserve"> deliberately meant to exclude it.</w:t>
      </w:r>
      <w:r>
        <w:t xml:space="preserve"> </w:t>
      </w:r>
      <w:r>
        <w:rPr>
          <w:i/>
        </w:rPr>
        <w:t>United Dominion Industries, Inc. v. United States</w:t>
      </w:r>
      <w:r w:rsidRPr="00EB3F81">
        <w:t>,</w:t>
      </w:r>
      <w:r>
        <w:rPr>
          <w:i/>
        </w:rPr>
        <w:t xml:space="preserve"> </w:t>
      </w:r>
      <w:r>
        <w:t xml:space="preserve">532 U.S. 822, 836 (2001). </w:t>
      </w:r>
      <w:r w:rsidR="007E0473">
        <w:rPr>
          <w:rFonts w:eastAsia="Times New Roman" w:cs="Times New Roman"/>
          <w:szCs w:val="24"/>
        </w:rPr>
        <w:t>O</w:t>
      </w:r>
      <w:r w:rsidR="007E0473" w:rsidRPr="00EC43B2">
        <w:rPr>
          <w:rFonts w:eastAsia="Times New Roman" w:cs="Times New Roman"/>
          <w:szCs w:val="24"/>
        </w:rPr>
        <w:t>rdinarily even the contemporaneous remarks of a single legislator who sponsors a bill are not controlling i</w:t>
      </w:r>
      <w:r w:rsidR="007E0473">
        <w:rPr>
          <w:rFonts w:eastAsia="Times New Roman" w:cs="Times New Roman"/>
          <w:szCs w:val="24"/>
        </w:rPr>
        <w:t xml:space="preserve">n analyzing legislative history. </w:t>
      </w:r>
      <w:r w:rsidR="007E0473" w:rsidRPr="00EC43B2">
        <w:rPr>
          <w:rFonts w:eastAsia="Times New Roman" w:cs="Times New Roman"/>
          <w:i/>
          <w:szCs w:val="24"/>
        </w:rPr>
        <w:t xml:space="preserve">Consumer Prod. </w:t>
      </w:r>
      <w:proofErr w:type="gramStart"/>
      <w:r w:rsidR="007E0473" w:rsidRPr="00EC43B2">
        <w:rPr>
          <w:rFonts w:eastAsia="Times New Roman" w:cs="Times New Roman"/>
          <w:i/>
          <w:szCs w:val="24"/>
        </w:rPr>
        <w:t xml:space="preserve">Safety </w:t>
      </w:r>
      <w:proofErr w:type="spellStart"/>
      <w:r w:rsidR="007E0473" w:rsidRPr="00EC43B2">
        <w:rPr>
          <w:rFonts w:eastAsia="Times New Roman" w:cs="Times New Roman"/>
          <w:i/>
          <w:szCs w:val="24"/>
        </w:rPr>
        <w:t>Comm'n</w:t>
      </w:r>
      <w:proofErr w:type="spellEnd"/>
      <w:r w:rsidR="007E0473" w:rsidRPr="00EC43B2">
        <w:rPr>
          <w:rFonts w:eastAsia="Times New Roman" w:cs="Times New Roman"/>
          <w:i/>
          <w:szCs w:val="24"/>
        </w:rPr>
        <w:t xml:space="preserve"> v. GTE Sylvania, Inc.</w:t>
      </w:r>
      <w:r w:rsidR="007E0473" w:rsidRPr="00EC43B2">
        <w:rPr>
          <w:rFonts w:eastAsia="Times New Roman" w:cs="Times New Roman"/>
          <w:szCs w:val="24"/>
        </w:rPr>
        <w:t>, 447 U.S. 102, 118</w:t>
      </w:r>
      <w:r w:rsidR="007E0473">
        <w:rPr>
          <w:rFonts w:eastAsia="Times New Roman" w:cs="Times New Roman"/>
          <w:szCs w:val="24"/>
        </w:rPr>
        <w:t xml:space="preserve"> </w:t>
      </w:r>
      <w:r w:rsidR="007E0473" w:rsidRPr="00EC43B2">
        <w:rPr>
          <w:rFonts w:eastAsia="Times New Roman" w:cs="Times New Roman"/>
          <w:szCs w:val="24"/>
        </w:rPr>
        <w:t>(1980)</w:t>
      </w:r>
      <w:r w:rsidR="007E0473">
        <w:rPr>
          <w:rFonts w:eastAsia="Times New Roman" w:cs="Times New Roman"/>
          <w:szCs w:val="24"/>
        </w:rPr>
        <w:t>.</w:t>
      </w:r>
      <w:proofErr w:type="gramEnd"/>
      <w:r w:rsidR="007E0473">
        <w:rPr>
          <w:rFonts w:eastAsia="Times New Roman" w:cs="Times New Roman"/>
          <w:szCs w:val="24"/>
        </w:rPr>
        <w:t xml:space="preserve"> </w:t>
      </w:r>
      <w:r w:rsidR="00906AC7">
        <w:t>The legislative history indicates that Congress specifically heard</w:t>
      </w:r>
      <w:r w:rsidR="00E918CB">
        <w:t xml:space="preserve"> testimony from Barbara Ringer, an official of the U.S. Copyright Office. Ms. Ringer stated specifically that she believed that a work would, “not be considered made for hire if the contract were signed later on—after the work was written, for example.”</w:t>
      </w:r>
      <w:r w:rsidR="00E918CB" w:rsidRPr="00E918CB">
        <w:rPr>
          <w:smallCaps/>
        </w:rPr>
        <w:t xml:space="preserve"> </w:t>
      </w:r>
      <w:r w:rsidR="00E918CB">
        <w:rPr>
          <w:smallCaps/>
        </w:rPr>
        <w:t xml:space="preserve">H.R. Rep. No. 51-374, </w:t>
      </w:r>
      <w:r w:rsidR="00E918CB">
        <w:t xml:space="preserve">pt. 5, at 145 (1965). Even with this direct testimony in hand, Congress still chose to omit the timing requirement from the text of the statute. </w:t>
      </w:r>
      <w:r w:rsidR="00F36D4F">
        <w:t xml:space="preserve">Given Congress’ explicit rejection of the timing requirement for parties to execute the written instrument, the Court should deny Defendants’ Motion to </w:t>
      </w:r>
      <w:r w:rsidR="00832063">
        <w:t>Dismiss</w:t>
      </w:r>
      <w:r w:rsidR="00F36D4F">
        <w:t>.</w:t>
      </w:r>
    </w:p>
    <w:p w14:paraId="4B496D18" w14:textId="77777777" w:rsidR="00A43B1C" w:rsidRPr="00EC43B2" w:rsidRDefault="00EB314E" w:rsidP="00DF4119">
      <w:pPr>
        <w:ind w:firstLine="720"/>
        <w:jc w:val="both"/>
        <w:rPr>
          <w:rFonts w:eastAsia="Times New Roman" w:cs="Times New Roman"/>
          <w:szCs w:val="24"/>
        </w:rPr>
      </w:pPr>
      <w:r>
        <w:t>Further</w:t>
      </w:r>
      <w:r w:rsidR="009A72EC">
        <w:t>, since</w:t>
      </w:r>
      <w:r w:rsidR="00146F2F">
        <w:t xml:space="preserve"> Court should view the statements of a single contemporaneous </w:t>
      </w:r>
      <w:r w:rsidR="00146F2F">
        <w:rPr>
          <w:i/>
        </w:rPr>
        <w:t xml:space="preserve">legislator </w:t>
      </w:r>
      <w:r w:rsidR="00146F2F">
        <w:t>skeptically, the Court should be especially circumspect about awarding Ms. Ringer</w:t>
      </w:r>
      <w:r w:rsidR="00DF4119">
        <w:t xml:space="preserve">, an unelected </w:t>
      </w:r>
      <w:r w:rsidR="00A22F6F">
        <w:t>administrative official speaking 11 years before the passage of the bill,</w:t>
      </w:r>
      <w:r w:rsidR="00146F2F">
        <w:t xml:space="preserve"> </w:t>
      </w:r>
      <w:r w:rsidR="00DF4119">
        <w:t>a</w:t>
      </w:r>
      <w:r w:rsidR="00146F2F">
        <w:t xml:space="preserve">ny degree of deference. </w:t>
      </w:r>
      <w:r w:rsidR="00D66442">
        <w:t>The Court should decline to grant Defendants’ Motion to Dismiss because u</w:t>
      </w:r>
      <w:r w:rsidR="00A571C3">
        <w:t xml:space="preserve">sing an unelected </w:t>
      </w:r>
      <w:r w:rsidR="00A571C3">
        <w:lastRenderedPageBreak/>
        <w:t>official’s comments as evidence of legislative intent where Congress did not draft her proposition into the text of the statute would g</w:t>
      </w:r>
      <w:r w:rsidR="00D61E3B">
        <w:t>ive Ms. Ringer undue influence over the legislative process.</w:t>
      </w:r>
    </w:p>
    <w:p w14:paraId="5AEB0EB4" w14:textId="77777777" w:rsidR="005D1A32" w:rsidRDefault="004672D3" w:rsidP="005D1A32">
      <w:pPr>
        <w:pStyle w:val="ListParagraph"/>
        <w:numPr>
          <w:ilvl w:val="0"/>
          <w:numId w:val="7"/>
        </w:numPr>
        <w:spacing w:line="240" w:lineRule="auto"/>
        <w:jc w:val="both"/>
        <w:rPr>
          <w:b/>
        </w:rPr>
      </w:pPr>
      <w:r>
        <w:rPr>
          <w:b/>
        </w:rPr>
        <w:t>PUBLIC POLIC</w:t>
      </w:r>
      <w:r w:rsidR="00A604FD">
        <w:rPr>
          <w:b/>
        </w:rPr>
        <w:t xml:space="preserve">Y FAVORS PROTECTING FLEXIBILITY </w:t>
      </w:r>
      <w:r>
        <w:rPr>
          <w:b/>
        </w:rPr>
        <w:t>OF CONTRACTING IN ADDITION TO CREATING PREDICTABILITY.</w:t>
      </w:r>
    </w:p>
    <w:p w14:paraId="069FF931" w14:textId="77777777" w:rsidR="005D1A32" w:rsidRDefault="005D1A32" w:rsidP="005D1A32">
      <w:pPr>
        <w:pStyle w:val="ListParagraph"/>
        <w:spacing w:line="240" w:lineRule="auto"/>
        <w:ind w:left="1080"/>
        <w:jc w:val="both"/>
        <w:rPr>
          <w:b/>
        </w:rPr>
      </w:pPr>
    </w:p>
    <w:p w14:paraId="4227928F" w14:textId="77777777" w:rsidR="0079491E" w:rsidRDefault="00F511E4" w:rsidP="00AF42C0">
      <w:pPr>
        <w:ind w:firstLine="720"/>
        <w:jc w:val="both"/>
      </w:pPr>
      <w:r>
        <w:t xml:space="preserve">The Court should hold that a written instrument that serves to ratify a pre-creation oral agreement should validly render the work as made for hire under the Copyright Act because in addition to providing notice to the parties involved in the transaction, ratification also </w:t>
      </w:r>
      <w:r w:rsidR="00716B9F">
        <w:t>affords the parties greater flexibility</w:t>
      </w:r>
      <w:r w:rsidR="006661CF">
        <w:t>, creates more parity between the parties, and</w:t>
      </w:r>
      <w:r w:rsidR="00716B9F">
        <w:t xml:space="preserve"> is more in keeping with bedrock principles of contract law.</w:t>
      </w:r>
    </w:p>
    <w:p w14:paraId="032E55EA" w14:textId="77777777" w:rsidR="005D1A32" w:rsidRDefault="005D1A32" w:rsidP="005D1A32">
      <w:pPr>
        <w:pStyle w:val="ListParagraph"/>
        <w:numPr>
          <w:ilvl w:val="1"/>
          <w:numId w:val="7"/>
        </w:numPr>
        <w:spacing w:line="240" w:lineRule="auto"/>
        <w:jc w:val="both"/>
        <w:rPr>
          <w:b/>
        </w:rPr>
      </w:pPr>
      <w:r>
        <w:rPr>
          <w:b/>
          <w:i/>
        </w:rPr>
        <w:t>Allowing Post-Creation Ratification Will Achieve the Same Policy Goals as Pre-Creation Writing While Affording More Flexibility to the Contracting Parties.</w:t>
      </w:r>
    </w:p>
    <w:p w14:paraId="23A29CF2" w14:textId="77777777" w:rsidR="005D1A32" w:rsidRDefault="005D1A32" w:rsidP="005D1A32">
      <w:pPr>
        <w:pStyle w:val="ListParagraph"/>
        <w:spacing w:line="240" w:lineRule="auto"/>
        <w:ind w:left="1080"/>
        <w:jc w:val="both"/>
        <w:rPr>
          <w:b/>
        </w:rPr>
      </w:pPr>
    </w:p>
    <w:p w14:paraId="306BA677" w14:textId="77777777" w:rsidR="005D1A32" w:rsidRDefault="005D1A32" w:rsidP="005D1A32">
      <w:pPr>
        <w:ind w:firstLine="720"/>
        <w:jc w:val="both"/>
      </w:pPr>
      <w:r>
        <w:t xml:space="preserve">The core fear of artists and other creative workers </w:t>
      </w:r>
      <w:r w:rsidR="00614066">
        <w:t xml:space="preserve">with respect to specially commissioned works made for hire </w:t>
      </w:r>
      <w:r>
        <w:t xml:space="preserve">is that they might conceivably work on a project for a considerable length of time on an oral understanding that they would retain ownership, only to discover that </w:t>
      </w:r>
      <w:r w:rsidR="00F0754F">
        <w:t>the commissioner of the work</w:t>
      </w:r>
      <w:r>
        <w:t xml:space="preserve"> demands they sign a contract designating the work “made for hire”. </w:t>
      </w:r>
      <w:r>
        <w:rPr>
          <w:i/>
        </w:rPr>
        <w:t xml:space="preserve">See </w:t>
      </w:r>
      <w:proofErr w:type="spellStart"/>
      <w:r>
        <w:rPr>
          <w:i/>
        </w:rPr>
        <w:t>Zyware</w:t>
      </w:r>
      <w:proofErr w:type="spellEnd"/>
      <w:r>
        <w:rPr>
          <w:i/>
        </w:rPr>
        <w:t xml:space="preserve">, Inc. v. </w:t>
      </w:r>
      <w:proofErr w:type="spellStart"/>
      <w:r>
        <w:rPr>
          <w:i/>
        </w:rPr>
        <w:t>Middlegate</w:t>
      </w:r>
      <w:proofErr w:type="spellEnd"/>
      <w:r>
        <w:rPr>
          <w:i/>
        </w:rPr>
        <w:t>, Inc.</w:t>
      </w:r>
      <w:r>
        <w:t xml:space="preserve">, No. 96 CIV. 2348(SHS), 1997 U.S. Dist. WL 685336, at *1, *4 (D.S.D. Nov. 4, 1997) (mitigating the risk of holdup by commissioners of independent contractors was a major purpose of the Copyright Act). </w:t>
      </w:r>
      <w:r w:rsidR="006B7E95">
        <w:t xml:space="preserve">Ratification addresses this problem because </w:t>
      </w:r>
      <w:r>
        <w:t>if there is clear evidence of a pre-creation oral agreement that the work is to be made for hire that is subsequently ratified in writing, the “lack of notice” issue simply disappears. The artist has the same notice as she would have if the agreement were in writing</w:t>
      </w:r>
      <w:r w:rsidR="00B1208C">
        <w:t xml:space="preserve"> before creation of the work</w:t>
      </w:r>
      <w:r>
        <w:t xml:space="preserve">; the sole difference from the studio’s standpoint is that it has more flexibility to commission products earlier to respond to rapidly changing market inputs in the fast-paced, </w:t>
      </w:r>
      <w:r>
        <w:lastRenderedPageBreak/>
        <w:t>competitive world of entertainment.</w:t>
      </w:r>
      <w:r w:rsidR="00034E83">
        <w:t xml:space="preserve"> The Court should deny Defendants’ Motion to </w:t>
      </w:r>
      <w:proofErr w:type="gramStart"/>
      <w:r w:rsidR="00034E83">
        <w:t>Dismiss</w:t>
      </w:r>
      <w:proofErr w:type="gramEnd"/>
      <w:r w:rsidR="00034E83">
        <w:t xml:space="preserve"> because ratification is a more realistic approach to facilitating</w:t>
      </w:r>
      <w:r w:rsidR="00354C76">
        <w:t xml:space="preserve"> creative commercial endeavors.</w:t>
      </w:r>
    </w:p>
    <w:p w14:paraId="2CDDF6B4" w14:textId="77777777" w:rsidR="005D1A32" w:rsidRPr="00730F9E" w:rsidRDefault="005D1A32" w:rsidP="005D1A32">
      <w:pPr>
        <w:pStyle w:val="ListParagraph"/>
        <w:numPr>
          <w:ilvl w:val="1"/>
          <w:numId w:val="7"/>
        </w:numPr>
        <w:spacing w:line="240" w:lineRule="auto"/>
        <w:jc w:val="both"/>
        <w:rPr>
          <w:b/>
        </w:rPr>
      </w:pPr>
      <w:r>
        <w:rPr>
          <w:b/>
          <w:i/>
        </w:rPr>
        <w:t>Forbidding Post-Creation Ratification Will Allow Independent Contractors to Take Advantage of Producers.</w:t>
      </w:r>
    </w:p>
    <w:p w14:paraId="5A4E1834" w14:textId="77777777" w:rsidR="00730F9E" w:rsidRPr="004115FD" w:rsidRDefault="00730F9E" w:rsidP="00730F9E">
      <w:pPr>
        <w:pStyle w:val="ListParagraph"/>
        <w:spacing w:line="240" w:lineRule="auto"/>
        <w:ind w:left="1440"/>
        <w:jc w:val="both"/>
        <w:rPr>
          <w:b/>
        </w:rPr>
      </w:pPr>
    </w:p>
    <w:p w14:paraId="0103614E" w14:textId="77777777" w:rsidR="005D1A32" w:rsidRDefault="00F77D1B" w:rsidP="00CA0A29">
      <w:pPr>
        <w:ind w:firstLine="720"/>
        <w:jc w:val="both"/>
      </w:pPr>
      <w:r>
        <w:t xml:space="preserve">A rigid </w:t>
      </w:r>
      <w:r w:rsidR="00BC49B7">
        <w:t>pre-creation writing requirement creates t</w:t>
      </w:r>
      <w:r w:rsidR="005D1A32">
        <w:t xml:space="preserve">he possibility for unscrupulous contractors to take </w:t>
      </w:r>
      <w:r w:rsidR="00BC49B7">
        <w:t xml:space="preserve">advantage of the </w:t>
      </w:r>
      <w:r w:rsidR="005D1A32">
        <w:t>studios</w:t>
      </w:r>
      <w:r w:rsidR="00A21079">
        <w:t xml:space="preserve"> and other benefactors who commission work</w:t>
      </w:r>
      <w:r w:rsidR="00F6624B">
        <w:t>s made for hire</w:t>
      </w:r>
      <w:r w:rsidR="004A51C3">
        <w:t>. Here, a</w:t>
      </w:r>
      <w:r w:rsidR="005B55CF">
        <w:t xml:space="preserve">llowing Defendant to take advantage of OGS by manufacturing a contrived </w:t>
      </w:r>
      <w:r w:rsidR="003D4F47">
        <w:t xml:space="preserve">timing </w:t>
      </w:r>
      <w:r w:rsidR="005B55CF">
        <w:t>technicality wou</w:t>
      </w:r>
      <w:r w:rsidR="002A452B">
        <w:t>ld be a miscarriage of justice</w:t>
      </w:r>
      <w:r w:rsidR="003E1A1C">
        <w:t xml:space="preserve"> because she had such clear notice that the work was the intellectual property of OGS. </w:t>
      </w:r>
      <w:r w:rsidR="001157FB">
        <w:t>The Court should deny Defendants’ Motion to Dismiss and adopt r</w:t>
      </w:r>
      <w:r w:rsidR="00CF5590">
        <w:t xml:space="preserve">atification </w:t>
      </w:r>
      <w:r w:rsidR="00EF36F6">
        <w:t xml:space="preserve">because it </w:t>
      </w:r>
      <w:r w:rsidR="00CF5590">
        <w:t>represents an ideal solution t</w:t>
      </w:r>
      <w:r w:rsidR="00E80E0E">
        <w:t>o this problem</w:t>
      </w:r>
      <w:r w:rsidR="004C5FE4">
        <w:t xml:space="preserve"> by forcing</w:t>
      </w:r>
      <w:r w:rsidR="00354C76">
        <w:t xml:space="preserve"> both parties to adhere to contractual commitments</w:t>
      </w:r>
      <w:r w:rsidR="00CF5590">
        <w:t xml:space="preserve">. </w:t>
      </w:r>
      <w:r w:rsidR="005D1A32">
        <w:rPr>
          <w:i/>
        </w:rPr>
        <w:t xml:space="preserve">See </w:t>
      </w:r>
      <w:r w:rsidR="005D1A32">
        <w:t xml:space="preserve">Carolyn M. Salzmann, </w:t>
      </w:r>
      <w:r w:rsidR="005D1A32">
        <w:rPr>
          <w:i/>
        </w:rPr>
        <w:t>You Commissioned It, You Bought It, But Do You Own It? The Work Made for Hire: Why is Something So Simple, So Complicated</w:t>
      </w:r>
      <w:proofErr w:type="gramStart"/>
      <w:r w:rsidR="005D1A32">
        <w:rPr>
          <w:i/>
        </w:rPr>
        <w:t>?</w:t>
      </w:r>
      <w:r w:rsidR="005D1A32">
        <w:t>,</w:t>
      </w:r>
      <w:proofErr w:type="gramEnd"/>
      <w:r w:rsidR="005D1A32">
        <w:t xml:space="preserve"> 31 U. </w:t>
      </w:r>
      <w:proofErr w:type="spellStart"/>
      <w:r w:rsidR="005D1A32">
        <w:t>Tol</w:t>
      </w:r>
      <w:proofErr w:type="spellEnd"/>
      <w:r w:rsidR="005D1A32">
        <w:t>. L. Rev. 497, 522 (2000).</w:t>
      </w:r>
    </w:p>
    <w:p w14:paraId="79B89BB7" w14:textId="77777777" w:rsidR="006F78FB" w:rsidRPr="006A262E" w:rsidRDefault="00597E6C" w:rsidP="006A262E">
      <w:pPr>
        <w:pStyle w:val="ListParagraph"/>
        <w:numPr>
          <w:ilvl w:val="1"/>
          <w:numId w:val="7"/>
        </w:numPr>
        <w:spacing w:line="240" w:lineRule="auto"/>
        <w:jc w:val="both"/>
      </w:pPr>
      <w:r>
        <w:rPr>
          <w:b/>
          <w:i/>
        </w:rPr>
        <w:t xml:space="preserve">The Ratification Rule is </w:t>
      </w:r>
      <w:proofErr w:type="gramStart"/>
      <w:r>
        <w:rPr>
          <w:b/>
          <w:i/>
        </w:rPr>
        <w:t>Supported</w:t>
      </w:r>
      <w:proofErr w:type="gramEnd"/>
      <w:r>
        <w:rPr>
          <w:b/>
          <w:i/>
        </w:rPr>
        <w:t xml:space="preserve"> by</w:t>
      </w:r>
      <w:r w:rsidR="006A262E">
        <w:rPr>
          <w:b/>
          <w:i/>
        </w:rPr>
        <w:t xml:space="preserve"> Fundame</w:t>
      </w:r>
      <w:r w:rsidR="00E213DE">
        <w:rPr>
          <w:b/>
          <w:i/>
        </w:rPr>
        <w:t>ntal Principles of Contract Law, Including the</w:t>
      </w:r>
      <w:r w:rsidR="006A262E">
        <w:rPr>
          <w:b/>
          <w:i/>
        </w:rPr>
        <w:t xml:space="preserve"> </w:t>
      </w:r>
      <w:r w:rsidR="006F78FB">
        <w:rPr>
          <w:b/>
          <w:i/>
        </w:rPr>
        <w:t>Objective Theory of Contracting &amp; Freedom of Contract</w:t>
      </w:r>
      <w:r w:rsidR="00E213DE">
        <w:rPr>
          <w:b/>
          <w:i/>
        </w:rPr>
        <w:t>.</w:t>
      </w:r>
    </w:p>
    <w:p w14:paraId="3A3AA608" w14:textId="77777777" w:rsidR="006A262E" w:rsidRDefault="006A262E" w:rsidP="006A262E">
      <w:pPr>
        <w:pStyle w:val="ListParagraph"/>
        <w:spacing w:line="240" w:lineRule="auto"/>
        <w:ind w:left="1440"/>
        <w:jc w:val="both"/>
        <w:rPr>
          <w:b/>
          <w:i/>
        </w:rPr>
      </w:pPr>
    </w:p>
    <w:p w14:paraId="77004B28" w14:textId="77777777" w:rsidR="00BE7DA7" w:rsidRPr="008A5E15" w:rsidRDefault="00E213DE" w:rsidP="008A5E15">
      <w:pPr>
        <w:ind w:firstLine="720"/>
        <w:jc w:val="both"/>
        <w:rPr>
          <w:bCs/>
          <w:color w:val="000000"/>
          <w:szCs w:val="20"/>
          <w:shd w:val="clear" w:color="auto" w:fill="FFFFFF"/>
        </w:rPr>
      </w:pPr>
      <w:r>
        <w:t>The objective theory of contract law holds that a party’</w:t>
      </w:r>
      <w:r w:rsidR="00D2214E">
        <w:t>s assent</w:t>
      </w:r>
      <w:r>
        <w:t xml:space="preserve"> is determined by its external manifestations. </w:t>
      </w:r>
      <w:r>
        <w:rPr>
          <w:i/>
        </w:rPr>
        <w:t>Asia Pac. Indus. Corp. v. Rainforest Café, Inc.</w:t>
      </w:r>
      <w:r w:rsidRPr="00EB3F81">
        <w:t>,</w:t>
      </w:r>
      <w:r>
        <w:rPr>
          <w:i/>
        </w:rPr>
        <w:t xml:space="preserve"> </w:t>
      </w:r>
      <w:r>
        <w:t>380 F.3d 383, 387 (8</w:t>
      </w:r>
      <w:r w:rsidRPr="00E213DE">
        <w:rPr>
          <w:vertAlign w:val="superscript"/>
        </w:rPr>
        <w:t>th</w:t>
      </w:r>
      <w:r>
        <w:t xml:space="preserve"> Cir. 2004). </w:t>
      </w:r>
      <w:r w:rsidR="006A3370">
        <w:t xml:space="preserve">Although there is no absolute freedom of contract, parties should be free from arbitrary restraint in conducting their commercial affairs. </w:t>
      </w:r>
      <w:r w:rsidR="006A3370">
        <w:rPr>
          <w:i/>
        </w:rPr>
        <w:t>Chicago, B &amp; Q.R. Co. v. McGuire</w:t>
      </w:r>
      <w:r w:rsidR="006A3370" w:rsidRPr="00EB3F81">
        <w:t>,</w:t>
      </w:r>
      <w:r w:rsidR="006A3370">
        <w:rPr>
          <w:i/>
        </w:rPr>
        <w:t xml:space="preserve"> </w:t>
      </w:r>
      <w:r w:rsidR="006A3370">
        <w:t xml:space="preserve">219 U.S. 549, 566 (1911). </w:t>
      </w:r>
      <w:r w:rsidR="00D2214E">
        <w:t>Here, the Defendant clearly assented that the screenplay was to be made for hire through her unequivocal pre-creation oral agreement with Dave Nelson. (</w:t>
      </w:r>
      <w:proofErr w:type="spellStart"/>
      <w:r w:rsidR="00D2214E">
        <w:t>Compl</w:t>
      </w:r>
      <w:proofErr w:type="spellEnd"/>
      <w:r w:rsidR="00D2214E">
        <w:t xml:space="preserve">. </w:t>
      </w:r>
      <w:r w:rsidR="00D2214E" w:rsidRPr="00193A15">
        <w:rPr>
          <w:b/>
          <w:bCs/>
          <w:color w:val="000000"/>
          <w:szCs w:val="20"/>
          <w:shd w:val="clear" w:color="auto" w:fill="FFFFFF"/>
        </w:rPr>
        <w:t>¶</w:t>
      </w:r>
      <w:r w:rsidR="00D2214E">
        <w:rPr>
          <w:b/>
          <w:bCs/>
          <w:color w:val="000000"/>
          <w:szCs w:val="20"/>
          <w:shd w:val="clear" w:color="auto" w:fill="FFFFFF"/>
        </w:rPr>
        <w:t xml:space="preserve"> </w:t>
      </w:r>
      <w:r w:rsidR="00D2214E">
        <w:rPr>
          <w:bCs/>
          <w:color w:val="000000"/>
          <w:szCs w:val="20"/>
          <w:shd w:val="clear" w:color="auto" w:fill="FFFFFF"/>
        </w:rPr>
        <w:t>16.)</w:t>
      </w:r>
      <w:r w:rsidR="00950A23">
        <w:rPr>
          <w:bCs/>
          <w:color w:val="000000"/>
          <w:szCs w:val="20"/>
          <w:shd w:val="clear" w:color="auto" w:fill="FFFFFF"/>
        </w:rPr>
        <w:t xml:space="preserve"> She</w:t>
      </w:r>
      <w:r w:rsidR="00990CA1">
        <w:rPr>
          <w:bCs/>
          <w:color w:val="000000"/>
          <w:szCs w:val="20"/>
          <w:shd w:val="clear" w:color="auto" w:fill="FFFFFF"/>
        </w:rPr>
        <w:t xml:space="preserve"> once </w:t>
      </w:r>
      <w:r w:rsidR="00950A23">
        <w:rPr>
          <w:bCs/>
          <w:color w:val="000000"/>
          <w:szCs w:val="20"/>
          <w:shd w:val="clear" w:color="auto" w:fill="FFFFFF"/>
        </w:rPr>
        <w:t xml:space="preserve">again </w:t>
      </w:r>
      <w:r w:rsidR="001270EF">
        <w:rPr>
          <w:bCs/>
          <w:color w:val="000000"/>
          <w:szCs w:val="20"/>
          <w:shd w:val="clear" w:color="auto" w:fill="FFFFFF"/>
        </w:rPr>
        <w:t xml:space="preserve">objectively </w:t>
      </w:r>
      <w:r w:rsidR="00950A23">
        <w:rPr>
          <w:bCs/>
          <w:color w:val="000000"/>
          <w:szCs w:val="20"/>
          <w:shd w:val="clear" w:color="auto" w:fill="FFFFFF"/>
        </w:rPr>
        <w:t xml:space="preserve">manifested her intent to assign authorship to OGS when she executed the written instrument after writing the screenplay. </w:t>
      </w:r>
      <w:r w:rsidR="0077203D">
        <w:t>(</w:t>
      </w:r>
      <w:r w:rsidR="0077203D">
        <w:rPr>
          <w:i/>
        </w:rPr>
        <w:t xml:space="preserve">Id. </w:t>
      </w:r>
      <w:r w:rsidR="0077203D" w:rsidRPr="00193A15">
        <w:rPr>
          <w:b/>
          <w:bCs/>
          <w:color w:val="000000"/>
          <w:szCs w:val="20"/>
          <w:shd w:val="clear" w:color="auto" w:fill="FFFFFF"/>
        </w:rPr>
        <w:t>¶</w:t>
      </w:r>
      <w:r w:rsidR="0077203D">
        <w:rPr>
          <w:b/>
          <w:bCs/>
          <w:color w:val="000000"/>
          <w:szCs w:val="20"/>
          <w:shd w:val="clear" w:color="auto" w:fill="FFFFFF"/>
        </w:rPr>
        <w:t xml:space="preserve"> </w:t>
      </w:r>
      <w:r w:rsidR="0077203D">
        <w:rPr>
          <w:bCs/>
          <w:color w:val="000000"/>
          <w:szCs w:val="20"/>
          <w:shd w:val="clear" w:color="auto" w:fill="FFFFFF"/>
        </w:rPr>
        <w:t>24.)</w:t>
      </w:r>
      <w:r w:rsidR="00A046DB">
        <w:rPr>
          <w:bCs/>
          <w:color w:val="000000"/>
          <w:szCs w:val="20"/>
          <w:shd w:val="clear" w:color="auto" w:fill="FFFFFF"/>
        </w:rPr>
        <w:t xml:space="preserve"> If the Court were to find that a party could clearly manifest assent to a contract in accorda</w:t>
      </w:r>
      <w:r w:rsidR="00C84E57">
        <w:rPr>
          <w:bCs/>
          <w:color w:val="000000"/>
          <w:szCs w:val="20"/>
          <w:shd w:val="clear" w:color="auto" w:fill="FFFFFF"/>
        </w:rPr>
        <w:t>nce with the plain language of a</w:t>
      </w:r>
      <w:r w:rsidR="00A046DB">
        <w:rPr>
          <w:bCs/>
          <w:color w:val="000000"/>
          <w:szCs w:val="20"/>
          <w:shd w:val="clear" w:color="auto" w:fill="FFFFFF"/>
        </w:rPr>
        <w:t xml:space="preserve"> </w:t>
      </w:r>
      <w:r w:rsidR="00A046DB">
        <w:rPr>
          <w:bCs/>
          <w:color w:val="000000"/>
          <w:szCs w:val="20"/>
          <w:shd w:val="clear" w:color="auto" w:fill="FFFFFF"/>
        </w:rPr>
        <w:lastRenderedPageBreak/>
        <w:t>statute an</w:t>
      </w:r>
      <w:r w:rsidR="00C23D0B">
        <w:rPr>
          <w:bCs/>
          <w:color w:val="000000"/>
          <w:szCs w:val="20"/>
          <w:shd w:val="clear" w:color="auto" w:fill="FFFFFF"/>
        </w:rPr>
        <w:t>d then exploit an invisible loop</w:t>
      </w:r>
      <w:r w:rsidR="00A046DB">
        <w:rPr>
          <w:bCs/>
          <w:color w:val="000000"/>
          <w:szCs w:val="20"/>
          <w:shd w:val="clear" w:color="auto" w:fill="FFFFFF"/>
        </w:rPr>
        <w:t>hole that finds no provenance in the text of the law</w:t>
      </w:r>
      <w:r w:rsidR="00957815">
        <w:rPr>
          <w:bCs/>
          <w:color w:val="000000"/>
          <w:szCs w:val="20"/>
          <w:shd w:val="clear" w:color="auto" w:fill="FFFFFF"/>
        </w:rPr>
        <w:t xml:space="preserve"> to violate the contract’s terms</w:t>
      </w:r>
      <w:r w:rsidR="00EE28AC">
        <w:rPr>
          <w:bCs/>
          <w:color w:val="000000"/>
          <w:szCs w:val="20"/>
          <w:shd w:val="clear" w:color="auto" w:fill="FFFFFF"/>
        </w:rPr>
        <w:t xml:space="preserve">, </w:t>
      </w:r>
      <w:r w:rsidR="00953A13">
        <w:rPr>
          <w:bCs/>
          <w:color w:val="000000"/>
          <w:szCs w:val="20"/>
          <w:shd w:val="clear" w:color="auto" w:fill="FFFFFF"/>
        </w:rPr>
        <w:t xml:space="preserve">then </w:t>
      </w:r>
      <w:r w:rsidR="00EE28AC">
        <w:rPr>
          <w:bCs/>
          <w:color w:val="000000"/>
          <w:szCs w:val="20"/>
          <w:shd w:val="clear" w:color="auto" w:fill="FFFFFF"/>
        </w:rPr>
        <w:t>predictability of commercial exchange in Moot</w:t>
      </w:r>
      <w:r w:rsidR="00581BB9">
        <w:rPr>
          <w:bCs/>
          <w:color w:val="000000"/>
          <w:szCs w:val="20"/>
          <w:shd w:val="clear" w:color="auto" w:fill="FFFFFF"/>
        </w:rPr>
        <w:t xml:space="preserve"> will suffer enormous</w:t>
      </w:r>
      <w:r w:rsidR="0084540B">
        <w:rPr>
          <w:bCs/>
          <w:color w:val="000000"/>
          <w:szCs w:val="20"/>
          <w:shd w:val="clear" w:color="auto" w:fill="FFFFFF"/>
        </w:rPr>
        <w:t>ly and unnecessarily</w:t>
      </w:r>
      <w:r w:rsidR="00BE7DA7">
        <w:rPr>
          <w:bCs/>
          <w:color w:val="000000"/>
          <w:szCs w:val="20"/>
          <w:shd w:val="clear" w:color="auto" w:fill="FFFFFF"/>
        </w:rPr>
        <w:t>.</w:t>
      </w:r>
      <w:r w:rsidR="006F386B">
        <w:rPr>
          <w:bCs/>
          <w:color w:val="000000"/>
          <w:szCs w:val="20"/>
          <w:shd w:val="clear" w:color="auto" w:fill="FFFFFF"/>
        </w:rPr>
        <w:t xml:space="preserve"> Further, g</w:t>
      </w:r>
      <w:r w:rsidR="00235147">
        <w:rPr>
          <w:bCs/>
          <w:color w:val="000000"/>
          <w:szCs w:val="20"/>
          <w:shd w:val="clear" w:color="auto" w:fill="FFFFFF"/>
        </w:rPr>
        <w:t>iven that ratification provides sufficient no</w:t>
      </w:r>
      <w:r w:rsidR="00CB1112">
        <w:rPr>
          <w:bCs/>
          <w:color w:val="000000"/>
          <w:szCs w:val="20"/>
          <w:shd w:val="clear" w:color="auto" w:fill="FFFFFF"/>
        </w:rPr>
        <w:t>tice and protection</w:t>
      </w:r>
      <w:r w:rsidR="00036A34">
        <w:rPr>
          <w:bCs/>
          <w:color w:val="000000"/>
          <w:szCs w:val="20"/>
          <w:shd w:val="clear" w:color="auto" w:fill="FFFFFF"/>
        </w:rPr>
        <w:t xml:space="preserve"> as described</w:t>
      </w:r>
      <w:r w:rsidR="00235147">
        <w:rPr>
          <w:bCs/>
          <w:color w:val="000000"/>
          <w:szCs w:val="20"/>
          <w:shd w:val="clear" w:color="auto" w:fill="FFFFFF"/>
        </w:rPr>
        <w:t xml:space="preserve">, </w:t>
      </w:r>
      <w:r w:rsidR="00545FB0">
        <w:rPr>
          <w:bCs/>
          <w:i/>
          <w:color w:val="000000"/>
          <w:szCs w:val="20"/>
          <w:shd w:val="clear" w:color="auto" w:fill="FFFFFF"/>
        </w:rPr>
        <w:t>supra</w:t>
      </w:r>
      <w:r w:rsidR="00CB1112">
        <w:rPr>
          <w:bCs/>
          <w:color w:val="000000"/>
          <w:szCs w:val="20"/>
          <w:shd w:val="clear" w:color="auto" w:fill="FFFFFF"/>
        </w:rPr>
        <w:t>,</w:t>
      </w:r>
      <w:r w:rsidR="00545FB0">
        <w:rPr>
          <w:bCs/>
          <w:color w:val="000000"/>
          <w:szCs w:val="20"/>
          <w:shd w:val="clear" w:color="auto" w:fill="FFFFFF"/>
        </w:rPr>
        <w:t xml:space="preserve"> </w:t>
      </w:r>
      <w:r w:rsidR="00A77CD4">
        <w:rPr>
          <w:bCs/>
          <w:color w:val="000000"/>
          <w:szCs w:val="20"/>
          <w:shd w:val="clear" w:color="auto" w:fill="FFFFFF"/>
        </w:rPr>
        <w:t>imposing a strict timing requirement would represent an a</w:t>
      </w:r>
      <w:r w:rsidR="00B42805">
        <w:rPr>
          <w:bCs/>
          <w:color w:val="000000"/>
          <w:szCs w:val="20"/>
          <w:shd w:val="clear" w:color="auto" w:fill="FFFFFF"/>
        </w:rPr>
        <w:t>rbitrary rest</w:t>
      </w:r>
      <w:r w:rsidR="003D547C">
        <w:rPr>
          <w:bCs/>
          <w:color w:val="000000"/>
          <w:szCs w:val="20"/>
          <w:shd w:val="clear" w:color="auto" w:fill="FFFFFF"/>
        </w:rPr>
        <w:t>raint on commerce. Therefore, the Court should deny Defendants’ Motion to Dismiss because fundamental doctrinal principles of contract law favor adopting ratification.</w:t>
      </w:r>
    </w:p>
    <w:p w14:paraId="61503DF5" w14:textId="77777777" w:rsidR="005D1A32" w:rsidRPr="00ED2305" w:rsidRDefault="005D1A32" w:rsidP="005D1A32">
      <w:pPr>
        <w:pStyle w:val="ListParagraph"/>
        <w:numPr>
          <w:ilvl w:val="0"/>
          <w:numId w:val="7"/>
        </w:numPr>
        <w:spacing w:line="240" w:lineRule="auto"/>
        <w:jc w:val="both"/>
        <w:rPr>
          <w:b/>
        </w:rPr>
      </w:pPr>
      <w:r>
        <w:rPr>
          <w:b/>
        </w:rPr>
        <w:t xml:space="preserve">THE </w:t>
      </w:r>
      <w:r w:rsidR="00371A2C">
        <w:rPr>
          <w:b/>
        </w:rPr>
        <w:t>COURT SHOULD ADOPT THE RAT</w:t>
      </w:r>
      <w:r w:rsidR="001011D9">
        <w:rPr>
          <w:b/>
        </w:rPr>
        <w:t xml:space="preserve">IFICATION RULE </w:t>
      </w:r>
      <w:r w:rsidR="008F62F2">
        <w:rPr>
          <w:b/>
        </w:rPr>
        <w:t xml:space="preserve">TO AVOID </w:t>
      </w:r>
      <w:r w:rsidR="001011D9">
        <w:rPr>
          <w:b/>
        </w:rPr>
        <w:t>AN UNJUST RESULT UNDER THE INSTANT FACTS.</w:t>
      </w:r>
    </w:p>
    <w:p w14:paraId="5E65C6BB" w14:textId="77777777" w:rsidR="005D1A32" w:rsidRPr="001011D9" w:rsidRDefault="005D1A32" w:rsidP="005D1A32">
      <w:pPr>
        <w:pStyle w:val="ListParagraph"/>
        <w:spacing w:line="240" w:lineRule="auto"/>
        <w:ind w:left="1440"/>
        <w:jc w:val="both"/>
        <w:rPr>
          <w:i/>
        </w:rPr>
      </w:pPr>
    </w:p>
    <w:p w14:paraId="0185CEE7" w14:textId="77777777" w:rsidR="00985C20" w:rsidRDefault="001011D9" w:rsidP="001011D9">
      <w:pPr>
        <w:ind w:firstLine="720"/>
        <w:jc w:val="both"/>
      </w:pPr>
      <w:r>
        <w:t>There are two competing branches of case law concerning the writing requirement: the dominant a</w:t>
      </w:r>
      <w:r w:rsidR="002A2BEF">
        <w:t xml:space="preserve">pproach of ratification </w:t>
      </w:r>
      <w:r w:rsidR="004736EE">
        <w:t xml:space="preserve">established in </w:t>
      </w:r>
      <w:r w:rsidR="004736EE">
        <w:rPr>
          <w:i/>
        </w:rPr>
        <w:t>Playboy Enterprises, Inc. v. Dumas</w:t>
      </w:r>
      <w:r w:rsidR="00360870" w:rsidRPr="00EB3F81">
        <w:t>,</w:t>
      </w:r>
      <w:r w:rsidR="00360870">
        <w:rPr>
          <w:i/>
        </w:rPr>
        <w:t xml:space="preserve"> </w:t>
      </w:r>
      <w:r w:rsidR="00360870">
        <w:t>53 F.3d 549</w:t>
      </w:r>
      <w:r w:rsidR="005A291D">
        <w:t>, 559</w:t>
      </w:r>
      <w:r w:rsidR="00360870">
        <w:t xml:space="preserve"> (</w:t>
      </w:r>
      <w:r w:rsidR="00E7007C">
        <w:t>2</w:t>
      </w:r>
      <w:r w:rsidR="00E7007C" w:rsidRPr="00E7007C">
        <w:t>d</w:t>
      </w:r>
      <w:r w:rsidR="000C57C9">
        <w:t xml:space="preserve"> Cir. </w:t>
      </w:r>
      <w:r w:rsidR="00360870">
        <w:t>1996),</w:t>
      </w:r>
      <w:r w:rsidR="004736EE">
        <w:rPr>
          <w:i/>
        </w:rPr>
        <w:t xml:space="preserve"> </w:t>
      </w:r>
      <w:r w:rsidR="00843F02">
        <w:t>and the</w:t>
      </w:r>
      <w:r w:rsidR="00896A7D">
        <w:t xml:space="preserve"> </w:t>
      </w:r>
      <w:r w:rsidR="00555397">
        <w:t>artificial</w:t>
      </w:r>
      <w:r w:rsidR="00843F02">
        <w:t xml:space="preserve"> timing requirement</w:t>
      </w:r>
      <w:r w:rsidR="004736EE">
        <w:t xml:space="preserve"> established in </w:t>
      </w:r>
      <w:r w:rsidR="004736EE">
        <w:rPr>
          <w:i/>
        </w:rPr>
        <w:t xml:space="preserve">Schiller &amp; Schmidt, Inc. v. </w:t>
      </w:r>
      <w:proofErr w:type="spellStart"/>
      <w:r w:rsidR="004736EE">
        <w:rPr>
          <w:i/>
        </w:rPr>
        <w:t>Nordisco</w:t>
      </w:r>
      <w:proofErr w:type="spellEnd"/>
      <w:r w:rsidR="004736EE">
        <w:rPr>
          <w:i/>
        </w:rPr>
        <w:t xml:space="preserve"> Corp</w:t>
      </w:r>
      <w:r>
        <w:t>.</w:t>
      </w:r>
      <w:r w:rsidR="00360870" w:rsidRPr="00EB3F81">
        <w:t>,</w:t>
      </w:r>
      <w:r w:rsidR="00360870">
        <w:rPr>
          <w:i/>
        </w:rPr>
        <w:t xml:space="preserve"> </w:t>
      </w:r>
      <w:r w:rsidR="00360870">
        <w:t>969 F.2d 410</w:t>
      </w:r>
      <w:r w:rsidR="00F800BC">
        <w:t>, 412</w:t>
      </w:r>
      <w:r w:rsidR="00360870">
        <w:t xml:space="preserve"> (</w:t>
      </w:r>
      <w:r w:rsidR="00E7007C">
        <w:t>7th</w:t>
      </w:r>
      <w:r w:rsidR="000C57C9">
        <w:t xml:space="preserve"> Cir. </w:t>
      </w:r>
      <w:r w:rsidR="00360870">
        <w:t>1995).</w:t>
      </w:r>
      <w:r>
        <w:t xml:space="preserve"> </w:t>
      </w:r>
      <w:r w:rsidR="00985C20">
        <w:t xml:space="preserve">The Court should follow the influential jurisdictions who have adopted ratification because the facts of the instant case align </w:t>
      </w:r>
      <w:r w:rsidR="00474CFB">
        <w:t xml:space="preserve">substantially more </w:t>
      </w:r>
      <w:r w:rsidR="00710C70">
        <w:t xml:space="preserve">with the facts of those cases than with those of </w:t>
      </w:r>
      <w:r w:rsidR="00710C70">
        <w:rPr>
          <w:i/>
        </w:rPr>
        <w:t>Schiller</w:t>
      </w:r>
      <w:r w:rsidR="00FA574B">
        <w:t xml:space="preserve"> and its progeny</w:t>
      </w:r>
      <w:r w:rsidR="00710C70">
        <w:t>.</w:t>
      </w:r>
    </w:p>
    <w:p w14:paraId="055F14AA" w14:textId="77777777" w:rsidR="00360870" w:rsidRPr="007C4A6C" w:rsidRDefault="00360870" w:rsidP="007C4A6C">
      <w:pPr>
        <w:pStyle w:val="ListParagraph"/>
        <w:numPr>
          <w:ilvl w:val="1"/>
          <w:numId w:val="7"/>
        </w:numPr>
        <w:spacing w:line="240" w:lineRule="auto"/>
        <w:jc w:val="both"/>
      </w:pPr>
      <w:r>
        <w:rPr>
          <w:b/>
          <w:i/>
        </w:rPr>
        <w:t xml:space="preserve">The </w:t>
      </w:r>
      <w:r w:rsidR="007C4A6C">
        <w:rPr>
          <w:b/>
          <w:i/>
        </w:rPr>
        <w:t>Presence of a Pre-Creation Ora</w:t>
      </w:r>
      <w:r w:rsidR="00342ABA">
        <w:rPr>
          <w:b/>
          <w:i/>
        </w:rPr>
        <w:t>l Agreement is a Material Fact T</w:t>
      </w:r>
      <w:r w:rsidR="007C4A6C">
        <w:rPr>
          <w:b/>
          <w:i/>
        </w:rPr>
        <w:t xml:space="preserve">hat Distinguishes </w:t>
      </w:r>
      <w:r w:rsidR="00DB0E8A">
        <w:rPr>
          <w:b/>
          <w:i/>
        </w:rPr>
        <w:t>Jurisdic</w:t>
      </w:r>
      <w:r w:rsidR="002F2942">
        <w:rPr>
          <w:b/>
          <w:i/>
        </w:rPr>
        <w:t>tions That Adopted Ratification over Defendants’ Rule.</w:t>
      </w:r>
    </w:p>
    <w:p w14:paraId="2BA87FB3" w14:textId="77777777" w:rsidR="007C4A6C" w:rsidRPr="00710C70" w:rsidRDefault="007C4A6C" w:rsidP="007C4A6C">
      <w:pPr>
        <w:pStyle w:val="ListParagraph"/>
        <w:spacing w:line="240" w:lineRule="auto"/>
        <w:ind w:left="1440"/>
        <w:jc w:val="both"/>
      </w:pPr>
    </w:p>
    <w:p w14:paraId="7A37AF01" w14:textId="77777777" w:rsidR="00A45B7D" w:rsidRDefault="002F671D" w:rsidP="001011D9">
      <w:pPr>
        <w:ind w:firstLine="720"/>
        <w:jc w:val="both"/>
      </w:pPr>
      <w:r>
        <w:t xml:space="preserve">Generally, jurisdictions that followed </w:t>
      </w:r>
      <w:r>
        <w:rPr>
          <w:i/>
        </w:rPr>
        <w:t xml:space="preserve">Playboy </w:t>
      </w:r>
      <w:r>
        <w:t>adjudicated fact patterns in which the artist had clear pre-creation notice that the specially commissioned work was to be made for hire</w:t>
      </w:r>
      <w:r w:rsidR="006927D7">
        <w:t>, and subsequently ratified that that understanding with a written instrument.</w:t>
      </w:r>
      <w:r>
        <w:t xml:space="preserve"> </w:t>
      </w:r>
      <w:r w:rsidR="00C97E82">
        <w:t xml:space="preserve">Indeed, the </w:t>
      </w:r>
      <w:r w:rsidR="00C97E82">
        <w:rPr>
          <w:i/>
        </w:rPr>
        <w:t xml:space="preserve">Playboy </w:t>
      </w:r>
      <w:r w:rsidR="00C97E82">
        <w:t>court held that w</w:t>
      </w:r>
      <w:r w:rsidR="00D567EF" w:rsidRPr="005569D5">
        <w:t>here</w:t>
      </w:r>
      <w:r w:rsidR="00D567EF">
        <w:t xml:space="preserve"> an </w:t>
      </w:r>
      <w:r w:rsidR="00A45B7D">
        <w:t>artist</w:t>
      </w:r>
      <w:r w:rsidR="00D567EF">
        <w:t xml:space="preserve"> had no pre-creation notice </w:t>
      </w:r>
      <w:r w:rsidR="003556CB">
        <w:t>whatsoever, a</w:t>
      </w:r>
      <w:r w:rsidR="00D567EF">
        <w:t xml:space="preserve"> post-creation written i</w:t>
      </w:r>
      <w:r w:rsidR="00A51938">
        <w:t>nstrument could not designate the work made for hire</w:t>
      </w:r>
      <w:r w:rsidR="00A45B7D">
        <w:t xml:space="preserve">. </w:t>
      </w:r>
      <w:proofErr w:type="gramStart"/>
      <w:r w:rsidR="00CD65CB">
        <w:t>53 F.3d at 559</w:t>
      </w:r>
      <w:r w:rsidR="00A45B7D">
        <w:t>.</w:t>
      </w:r>
      <w:proofErr w:type="gramEnd"/>
      <w:r w:rsidR="00A45B7D">
        <w:t xml:space="preserve"> </w:t>
      </w:r>
      <w:r w:rsidR="001B0B36">
        <w:t xml:space="preserve">Finally, the </w:t>
      </w:r>
      <w:r w:rsidR="001B0B36">
        <w:rPr>
          <w:i/>
        </w:rPr>
        <w:t xml:space="preserve">Playboy </w:t>
      </w:r>
      <w:r w:rsidR="001B0B36">
        <w:t>c</w:t>
      </w:r>
      <w:r w:rsidR="002C396D">
        <w:t>ourt indicated that post-creation written instruments should be executed sho</w:t>
      </w:r>
      <w:r w:rsidR="00C3309F">
        <w:t>rtly after creation of the work</w:t>
      </w:r>
      <w:r w:rsidR="002C396D">
        <w:t xml:space="preserve">, noting in dicta that, “Congress’ goal of ‘predictability’ would be thwarted if a hiring party and an independent contractor years after a work was created.” </w:t>
      </w:r>
      <w:r w:rsidR="002C396D">
        <w:rPr>
          <w:i/>
        </w:rPr>
        <w:t>Id.</w:t>
      </w:r>
      <w:r w:rsidR="002C396D">
        <w:t xml:space="preserve"> </w:t>
      </w:r>
    </w:p>
    <w:p w14:paraId="4541A406" w14:textId="77777777" w:rsidR="0006198A" w:rsidRDefault="006C36C9" w:rsidP="00597465">
      <w:pPr>
        <w:ind w:firstLine="720"/>
        <w:jc w:val="both"/>
      </w:pPr>
      <w:r>
        <w:lastRenderedPageBreak/>
        <w:t>J</w:t>
      </w:r>
      <w:r w:rsidR="00427C08">
        <w:t xml:space="preserve">urisdictions across the United States that have encountered fact patterns involving a pre-creation agreement have followed the </w:t>
      </w:r>
      <w:r w:rsidR="00427C08">
        <w:rPr>
          <w:i/>
        </w:rPr>
        <w:t xml:space="preserve">Playboy </w:t>
      </w:r>
      <w:r w:rsidR="00427C08">
        <w:t xml:space="preserve">ruling, usually quoting the excerpt that most succinctly describes ratification, “the court in </w:t>
      </w:r>
      <w:r w:rsidR="00427C08">
        <w:rPr>
          <w:i/>
        </w:rPr>
        <w:t>Playboy Enterprises, Inc. v. Dumas</w:t>
      </w:r>
      <w:r w:rsidR="00427C08">
        <w:t xml:space="preserve"> held that the writing requirement referenced in § 101(2) can be met by a writing executed after the work was created ‘if the writing confirms a prior agreement, either explicit or implicit, made before the creation of the work.” </w:t>
      </w:r>
      <w:r w:rsidR="00B110F0" w:rsidRPr="00E6664D">
        <w:rPr>
          <w:rFonts w:eastAsia="Times New Roman" w:cs="Times New Roman"/>
          <w:i/>
          <w:szCs w:val="24"/>
        </w:rPr>
        <w:t xml:space="preserve">Compaq Computer Corp. v. </w:t>
      </w:r>
      <w:proofErr w:type="spellStart"/>
      <w:r w:rsidR="00B110F0" w:rsidRPr="00E6664D">
        <w:rPr>
          <w:rFonts w:eastAsia="Times New Roman" w:cs="Times New Roman"/>
          <w:i/>
          <w:szCs w:val="24"/>
        </w:rPr>
        <w:t>Ergonome</w:t>
      </w:r>
      <w:proofErr w:type="spellEnd"/>
      <w:r w:rsidR="00B110F0" w:rsidRPr="00E6664D">
        <w:rPr>
          <w:rFonts w:eastAsia="Times New Roman" w:cs="Times New Roman"/>
          <w:i/>
          <w:szCs w:val="24"/>
        </w:rPr>
        <w:t xml:space="preserve"> Inc.</w:t>
      </w:r>
      <w:r w:rsidR="00B110F0" w:rsidRPr="00EB3F81">
        <w:rPr>
          <w:rFonts w:eastAsia="Times New Roman" w:cs="Times New Roman"/>
          <w:szCs w:val="24"/>
        </w:rPr>
        <w:t>,</w:t>
      </w:r>
      <w:r w:rsidR="00B110F0" w:rsidRPr="00E6664D">
        <w:rPr>
          <w:rFonts w:eastAsia="Times New Roman" w:cs="Times New Roman"/>
          <w:szCs w:val="24"/>
        </w:rPr>
        <w:t xml:space="preserve"> 210 F. Supp. 2d 839, 843 (S.D. Tex. 2001)</w:t>
      </w:r>
      <w:r w:rsidR="00B110F0">
        <w:rPr>
          <w:rFonts w:eastAsia="Times New Roman" w:cs="Times New Roman"/>
          <w:szCs w:val="24"/>
        </w:rPr>
        <w:t xml:space="preserve">. </w:t>
      </w:r>
      <w:r w:rsidR="00B110F0">
        <w:rPr>
          <w:rFonts w:eastAsia="Times New Roman" w:cs="Times New Roman"/>
          <w:i/>
          <w:szCs w:val="24"/>
        </w:rPr>
        <w:t xml:space="preserve">See also, </w:t>
      </w:r>
      <w:r w:rsidR="00B110F0" w:rsidRPr="00B110F0">
        <w:rPr>
          <w:rFonts w:eastAsia="Times New Roman" w:cs="Times New Roman"/>
          <w:i/>
          <w:szCs w:val="24"/>
        </w:rPr>
        <w:t>TMTV, Corp. v. Mass Productions, Inc.</w:t>
      </w:r>
      <w:r w:rsidR="00B110F0" w:rsidRPr="00EB3F81">
        <w:rPr>
          <w:rFonts w:eastAsia="Times New Roman" w:cs="Times New Roman"/>
          <w:szCs w:val="24"/>
        </w:rPr>
        <w:t>,</w:t>
      </w:r>
      <w:r w:rsidR="00B110F0" w:rsidRPr="00B110F0">
        <w:rPr>
          <w:rFonts w:eastAsia="Times New Roman" w:cs="Times New Roman"/>
          <w:szCs w:val="24"/>
        </w:rPr>
        <w:t xml:space="preserve"> 645 F.3d 464, 470 (1st Cir. 2011)</w:t>
      </w:r>
      <w:r w:rsidR="00B110F0">
        <w:rPr>
          <w:rFonts w:eastAsia="Times New Roman" w:cs="Times New Roman"/>
          <w:szCs w:val="24"/>
        </w:rPr>
        <w:t xml:space="preserve">, </w:t>
      </w:r>
      <w:proofErr w:type="spellStart"/>
      <w:r w:rsidR="0001236D" w:rsidRPr="0001236D">
        <w:rPr>
          <w:rFonts w:eastAsia="Times New Roman" w:cs="Times New Roman"/>
          <w:i/>
          <w:szCs w:val="24"/>
        </w:rPr>
        <w:t>Campinha-Bacote</w:t>
      </w:r>
      <w:proofErr w:type="spellEnd"/>
      <w:r w:rsidR="0001236D" w:rsidRPr="0001236D">
        <w:rPr>
          <w:rFonts w:eastAsia="Times New Roman" w:cs="Times New Roman"/>
          <w:i/>
          <w:szCs w:val="24"/>
        </w:rPr>
        <w:t xml:space="preserve"> v. </w:t>
      </w:r>
      <w:proofErr w:type="spellStart"/>
      <w:r w:rsidR="0001236D" w:rsidRPr="0001236D">
        <w:rPr>
          <w:rFonts w:eastAsia="Times New Roman" w:cs="Times New Roman"/>
          <w:i/>
          <w:szCs w:val="24"/>
        </w:rPr>
        <w:t>Rearden</w:t>
      </w:r>
      <w:proofErr w:type="spellEnd"/>
      <w:r w:rsidR="0001236D" w:rsidRPr="00EB3F81">
        <w:rPr>
          <w:rFonts w:eastAsia="Times New Roman" w:cs="Times New Roman"/>
          <w:szCs w:val="24"/>
        </w:rPr>
        <w:t>,</w:t>
      </w:r>
      <w:r w:rsidR="0001236D" w:rsidRPr="0001236D">
        <w:rPr>
          <w:rFonts w:eastAsia="Times New Roman" w:cs="Times New Roman"/>
          <w:szCs w:val="24"/>
        </w:rPr>
        <w:t xml:space="preserve"> 3:10-CV-00139-JDR, 2011 WL 1343343 (D. Alaska Apr. 8, 2011)</w:t>
      </w:r>
      <w:r w:rsidR="00B110F0">
        <w:rPr>
          <w:rFonts w:eastAsia="Times New Roman" w:cs="Times New Roman"/>
          <w:szCs w:val="24"/>
        </w:rPr>
        <w:t xml:space="preserve">, </w:t>
      </w:r>
      <w:proofErr w:type="spellStart"/>
      <w:r w:rsidR="00D76B66" w:rsidRPr="00D76B66">
        <w:rPr>
          <w:rFonts w:eastAsia="Times New Roman" w:cs="Times New Roman"/>
          <w:i/>
          <w:szCs w:val="24"/>
        </w:rPr>
        <w:t>Zyware</w:t>
      </w:r>
      <w:proofErr w:type="spellEnd"/>
      <w:r w:rsidR="00D76B66" w:rsidRPr="00D76B66">
        <w:rPr>
          <w:rFonts w:eastAsia="Times New Roman" w:cs="Times New Roman"/>
          <w:i/>
          <w:szCs w:val="24"/>
        </w:rPr>
        <w:t xml:space="preserve">, Inc. v. </w:t>
      </w:r>
      <w:proofErr w:type="spellStart"/>
      <w:r w:rsidR="00D76B66" w:rsidRPr="00D76B66">
        <w:rPr>
          <w:rFonts w:eastAsia="Times New Roman" w:cs="Times New Roman"/>
          <w:i/>
          <w:szCs w:val="24"/>
        </w:rPr>
        <w:t>Middlegate</w:t>
      </w:r>
      <w:proofErr w:type="spellEnd"/>
      <w:r w:rsidR="00D76B66" w:rsidRPr="00EB3F81">
        <w:rPr>
          <w:rFonts w:eastAsia="Times New Roman" w:cs="Times New Roman"/>
          <w:szCs w:val="24"/>
        </w:rPr>
        <w:t>,</w:t>
      </w:r>
      <w:r w:rsidR="00D76B66" w:rsidRPr="00D76B66">
        <w:rPr>
          <w:rFonts w:eastAsia="Times New Roman" w:cs="Times New Roman"/>
          <w:i/>
          <w:szCs w:val="24"/>
        </w:rPr>
        <w:t xml:space="preserve"> Inc.,</w:t>
      </w:r>
      <w:r w:rsidR="00D76B66" w:rsidRPr="00D76B66">
        <w:rPr>
          <w:rFonts w:eastAsia="Times New Roman" w:cs="Times New Roman"/>
          <w:szCs w:val="24"/>
        </w:rPr>
        <w:t xml:space="preserve"> 96 CIV. 2348 (SHS), 1997 WL 685336 (S.D.N.Y. Nov. 4, 1997)</w:t>
      </w:r>
      <w:r w:rsidR="00B110F0">
        <w:t>.</w:t>
      </w:r>
      <w:r w:rsidR="006504EF">
        <w:t xml:space="preserve"> </w:t>
      </w:r>
      <w:r w:rsidR="0006198A">
        <w:t>The facts before us emphatically show that Defendant had clear notice that the work was to be made for hire, and that she knowingly ratified that oral contract shortly after creating the work. (</w:t>
      </w:r>
      <w:proofErr w:type="spellStart"/>
      <w:r w:rsidR="0006198A">
        <w:t>Compl</w:t>
      </w:r>
      <w:proofErr w:type="spellEnd"/>
      <w:r w:rsidR="0006198A">
        <w:t xml:space="preserve">. </w:t>
      </w:r>
      <w:r w:rsidR="0006198A" w:rsidRPr="00193A15">
        <w:rPr>
          <w:b/>
          <w:bCs/>
          <w:color w:val="000000"/>
          <w:szCs w:val="20"/>
          <w:shd w:val="clear" w:color="auto" w:fill="FFFFFF"/>
        </w:rPr>
        <w:t>¶¶</w:t>
      </w:r>
      <w:r w:rsidR="0006198A">
        <w:rPr>
          <w:b/>
          <w:bCs/>
          <w:color w:val="000000"/>
          <w:szCs w:val="20"/>
          <w:shd w:val="clear" w:color="auto" w:fill="FFFFFF"/>
        </w:rPr>
        <w:t xml:space="preserve"> </w:t>
      </w:r>
      <w:r w:rsidR="0006198A">
        <w:rPr>
          <w:bCs/>
          <w:color w:val="000000"/>
          <w:szCs w:val="20"/>
          <w:shd w:val="clear" w:color="auto" w:fill="FFFFFF"/>
        </w:rPr>
        <w:t xml:space="preserve">16, 24.) </w:t>
      </w:r>
      <w:r w:rsidR="005B343A">
        <w:t>T</w:t>
      </w:r>
      <w:r w:rsidR="00A70252">
        <w:t xml:space="preserve">he Court should deny Defendants’ Motion to </w:t>
      </w:r>
      <w:proofErr w:type="gramStart"/>
      <w:r w:rsidR="00A70252">
        <w:t>Dismiss</w:t>
      </w:r>
      <w:proofErr w:type="gramEnd"/>
      <w:r w:rsidR="00A70252">
        <w:t xml:space="preserve"> because</w:t>
      </w:r>
      <w:r w:rsidR="0006198A">
        <w:t xml:space="preserve"> the</w:t>
      </w:r>
      <w:r w:rsidR="00F46B0F">
        <w:t xml:space="preserve"> fact pattern mirrors those</w:t>
      </w:r>
      <w:r w:rsidR="0006198A">
        <w:t xml:space="preserve"> cases ruled on by jurisdict</w:t>
      </w:r>
      <w:r w:rsidR="00EF1ED0">
        <w:t>ions that adopted ratification.</w:t>
      </w:r>
      <w:r w:rsidR="0006198A">
        <w:t xml:space="preserve"> </w:t>
      </w:r>
    </w:p>
    <w:p w14:paraId="023E5692" w14:textId="77777777" w:rsidR="00D56B59" w:rsidRPr="00D56B59" w:rsidRDefault="00DD5DD5" w:rsidP="00A12A1B">
      <w:pPr>
        <w:pStyle w:val="ListParagraph"/>
        <w:numPr>
          <w:ilvl w:val="1"/>
          <w:numId w:val="7"/>
        </w:numPr>
        <w:spacing w:line="240" w:lineRule="auto"/>
        <w:jc w:val="both"/>
      </w:pPr>
      <w:r>
        <w:rPr>
          <w:b/>
          <w:i/>
        </w:rPr>
        <w:t xml:space="preserve">Cases </w:t>
      </w:r>
      <w:r w:rsidR="00877D6C">
        <w:rPr>
          <w:b/>
          <w:i/>
        </w:rPr>
        <w:t>That Follow the Rule Proposed by Defendants</w:t>
      </w:r>
      <w:r w:rsidR="00D56B59">
        <w:rPr>
          <w:b/>
          <w:i/>
        </w:rPr>
        <w:t xml:space="preserve"> Did Not Involve Ratification of a Pre-Creation Oral Agreement.</w:t>
      </w:r>
    </w:p>
    <w:p w14:paraId="2C8BD118" w14:textId="77777777" w:rsidR="00D56B59" w:rsidRDefault="00D56B59" w:rsidP="00D56B59">
      <w:pPr>
        <w:pStyle w:val="ListParagraph"/>
        <w:spacing w:line="240" w:lineRule="auto"/>
        <w:ind w:left="1440"/>
        <w:jc w:val="both"/>
      </w:pPr>
    </w:p>
    <w:p w14:paraId="0AE14617" w14:textId="77777777" w:rsidR="00AE42F8" w:rsidRPr="00295D15" w:rsidRDefault="00A04978" w:rsidP="00957557">
      <w:pPr>
        <w:ind w:firstLine="720"/>
        <w:jc w:val="both"/>
        <w:rPr>
          <w:rFonts w:eastAsia="Times New Roman" w:cs="Times New Roman"/>
          <w:szCs w:val="24"/>
        </w:rPr>
      </w:pPr>
      <w:r>
        <w:t xml:space="preserve">In the </w:t>
      </w:r>
      <w:r w:rsidR="00F01322">
        <w:t>cases that followed the</w:t>
      </w:r>
      <w:r w:rsidR="002B76EF">
        <w:t xml:space="preserve"> </w:t>
      </w:r>
      <w:r w:rsidR="00A45B7D" w:rsidRPr="00193A15">
        <w:rPr>
          <w:i/>
        </w:rPr>
        <w:t>Schiller</w:t>
      </w:r>
      <w:r w:rsidR="00F01322">
        <w:rPr>
          <w:i/>
        </w:rPr>
        <w:t xml:space="preserve"> </w:t>
      </w:r>
      <w:r w:rsidR="00F01322">
        <w:t>rule</w:t>
      </w:r>
      <w:r w:rsidR="00A45B7D">
        <w:t>, there was no record of a prior oral agreement</w:t>
      </w:r>
      <w:r w:rsidR="0091043C">
        <w:t xml:space="preserve"> between the commissioner and creator of the work</w:t>
      </w:r>
      <w:r w:rsidR="00A45B7D">
        <w:t xml:space="preserve"> that the </w:t>
      </w:r>
      <w:r w:rsidR="0091043C">
        <w:t xml:space="preserve">intellectual property </w:t>
      </w:r>
      <w:r w:rsidR="00A45B7D">
        <w:t xml:space="preserve">at issue </w:t>
      </w:r>
      <w:r w:rsidR="00A35372">
        <w:t>was to be made for hire.</w:t>
      </w:r>
      <w:r w:rsidR="00A45B7D">
        <w:t xml:space="preserve"> </w:t>
      </w:r>
      <w:r w:rsidR="00A45B7D">
        <w:rPr>
          <w:i/>
        </w:rPr>
        <w:t>Schiller &amp; Schmidt, Inc.</w:t>
      </w:r>
      <w:r w:rsidR="00A45B7D">
        <w:t>,</w:t>
      </w:r>
      <w:r w:rsidR="00A45B7D">
        <w:rPr>
          <w:i/>
        </w:rPr>
        <w:t xml:space="preserve"> </w:t>
      </w:r>
      <w:r w:rsidR="00A45B7D">
        <w:t xml:space="preserve">969 F.2d at 412. </w:t>
      </w:r>
      <w:r w:rsidR="00147B3F">
        <w:t>The</w:t>
      </w:r>
      <w:r w:rsidR="00957557">
        <w:t xml:space="preserve"> </w:t>
      </w:r>
      <w:r w:rsidR="0087142D">
        <w:t>Ninth Circuit adopted the Defendant’s rule in a fact pattern where the creator had finished the work before ever engaging in contractual discussions with</w:t>
      </w:r>
      <w:r w:rsidR="003951F1">
        <w:t xml:space="preserve"> the commissioner</w:t>
      </w:r>
      <w:r w:rsidR="0087142D">
        <w:t xml:space="preserve"> of the work. </w:t>
      </w:r>
      <w:proofErr w:type="spellStart"/>
      <w:r w:rsidR="008B072B">
        <w:rPr>
          <w:i/>
        </w:rPr>
        <w:t>Gladwell</w:t>
      </w:r>
      <w:proofErr w:type="spellEnd"/>
      <w:r w:rsidR="008B072B">
        <w:rPr>
          <w:i/>
        </w:rPr>
        <w:t xml:space="preserve"> Government Services, Inc. v. County of Marin</w:t>
      </w:r>
      <w:r w:rsidR="008B072B" w:rsidRPr="0024619F">
        <w:t>,</w:t>
      </w:r>
      <w:r w:rsidR="008B072B">
        <w:rPr>
          <w:i/>
        </w:rPr>
        <w:t xml:space="preserve"> </w:t>
      </w:r>
      <w:r w:rsidR="008B072B">
        <w:t xml:space="preserve">265 </w:t>
      </w:r>
      <w:proofErr w:type="spellStart"/>
      <w:r w:rsidR="008B072B">
        <w:t>Fed.Appx</w:t>
      </w:r>
      <w:proofErr w:type="spellEnd"/>
      <w:r w:rsidR="008B072B">
        <w:t xml:space="preserve">. </w:t>
      </w:r>
      <w:proofErr w:type="gramStart"/>
      <w:r w:rsidR="008B072B">
        <w:t>624, 626 (</w:t>
      </w:r>
      <w:r w:rsidR="002D31E0">
        <w:t xml:space="preserve">9th Cir. </w:t>
      </w:r>
      <w:r w:rsidR="008B072B">
        <w:t>2008).</w:t>
      </w:r>
      <w:proofErr w:type="gramEnd"/>
      <w:r w:rsidR="008B072B">
        <w:t xml:space="preserve"> </w:t>
      </w:r>
      <w:r w:rsidR="00957557">
        <w:t xml:space="preserve">Similarly, </w:t>
      </w:r>
      <w:r w:rsidR="00F45BFA">
        <w:t>an Illinois court</w:t>
      </w:r>
      <w:r w:rsidR="0038156F">
        <w:t xml:space="preserve"> held that a post-creation ratification did not satisfy the statutory requirement</w:t>
      </w:r>
      <w:r w:rsidR="009D2B13">
        <w:t xml:space="preserve"> on grounds that the parties did not exe</w:t>
      </w:r>
      <w:r w:rsidR="00AF4F35">
        <w:t>cute the written instrument until the commencement of litigation, long after creation of the work</w:t>
      </w:r>
      <w:r w:rsidR="00AE42F8">
        <w:t xml:space="preserve">. </w:t>
      </w:r>
      <w:proofErr w:type="spellStart"/>
      <w:r w:rsidR="00AE42F8" w:rsidRPr="00AE42F8">
        <w:rPr>
          <w:rFonts w:eastAsia="Times New Roman" w:cs="Times New Roman"/>
          <w:i/>
          <w:szCs w:val="24"/>
        </w:rPr>
        <w:t>Rubloff</w:t>
      </w:r>
      <w:proofErr w:type="spellEnd"/>
      <w:r w:rsidR="00AE42F8" w:rsidRPr="00AE42F8">
        <w:rPr>
          <w:rFonts w:eastAsia="Times New Roman" w:cs="Times New Roman"/>
          <w:i/>
          <w:szCs w:val="24"/>
        </w:rPr>
        <w:t xml:space="preserve"> Inc. v. Donahue</w:t>
      </w:r>
      <w:r w:rsidR="00AE42F8" w:rsidRPr="0024619F">
        <w:rPr>
          <w:rFonts w:eastAsia="Times New Roman" w:cs="Times New Roman"/>
          <w:szCs w:val="24"/>
        </w:rPr>
        <w:t>,</w:t>
      </w:r>
      <w:r w:rsidR="00AE42F8" w:rsidRPr="00AE42F8">
        <w:rPr>
          <w:rFonts w:eastAsia="Times New Roman" w:cs="Times New Roman"/>
          <w:szCs w:val="24"/>
        </w:rPr>
        <w:t xml:space="preserve"> 93 C 0457, 1994 WL 161098 (N.D. Ill. Apr. 11, </w:t>
      </w:r>
      <w:r w:rsidR="00AE42F8" w:rsidRPr="00AE42F8">
        <w:rPr>
          <w:rFonts w:eastAsia="Times New Roman" w:cs="Times New Roman"/>
          <w:szCs w:val="24"/>
        </w:rPr>
        <w:lastRenderedPageBreak/>
        <w:t>1994)</w:t>
      </w:r>
      <w:r w:rsidR="008226AE">
        <w:rPr>
          <w:rFonts w:eastAsia="Times New Roman" w:cs="Times New Roman"/>
          <w:szCs w:val="24"/>
        </w:rPr>
        <w:t>. This logic is perfectly co</w:t>
      </w:r>
      <w:r w:rsidR="00534476">
        <w:rPr>
          <w:rFonts w:eastAsia="Times New Roman" w:cs="Times New Roman"/>
          <w:szCs w:val="24"/>
        </w:rPr>
        <w:t>nsistent</w:t>
      </w:r>
      <w:r w:rsidR="008226AE">
        <w:rPr>
          <w:rFonts w:eastAsia="Times New Roman" w:cs="Times New Roman"/>
          <w:szCs w:val="24"/>
        </w:rPr>
        <w:t xml:space="preserve"> with the caveat in </w:t>
      </w:r>
      <w:r w:rsidR="008226AE">
        <w:rPr>
          <w:rFonts w:eastAsia="Times New Roman" w:cs="Times New Roman"/>
          <w:i/>
          <w:szCs w:val="24"/>
        </w:rPr>
        <w:t xml:space="preserve">Playboy </w:t>
      </w:r>
      <w:r w:rsidR="008226AE">
        <w:rPr>
          <w:rFonts w:eastAsia="Times New Roman" w:cs="Times New Roman"/>
          <w:szCs w:val="24"/>
        </w:rPr>
        <w:t>that a writing executed “long after creation” would not carry the same force as one executed within a reasonable time after creation.</w:t>
      </w:r>
      <w:r w:rsidR="00C3309F">
        <w:rPr>
          <w:rFonts w:eastAsia="Times New Roman" w:cs="Times New Roman"/>
          <w:szCs w:val="24"/>
        </w:rPr>
        <w:t xml:space="preserve"> </w:t>
      </w:r>
      <w:r w:rsidR="00C3309F">
        <w:rPr>
          <w:rFonts w:eastAsia="Times New Roman" w:cs="Times New Roman"/>
          <w:i/>
          <w:szCs w:val="24"/>
        </w:rPr>
        <w:t>Playboy Enterprises, Inc.</w:t>
      </w:r>
      <w:r w:rsidR="0024619F">
        <w:rPr>
          <w:rFonts w:eastAsia="Times New Roman" w:cs="Times New Roman"/>
          <w:szCs w:val="24"/>
        </w:rPr>
        <w:t>,</w:t>
      </w:r>
      <w:r w:rsidR="00C3309F">
        <w:rPr>
          <w:rFonts w:eastAsia="Times New Roman" w:cs="Times New Roman"/>
          <w:i/>
          <w:szCs w:val="24"/>
        </w:rPr>
        <w:t xml:space="preserve"> </w:t>
      </w:r>
      <w:r w:rsidR="00C3309F">
        <w:rPr>
          <w:rFonts w:eastAsia="Times New Roman" w:cs="Times New Roman"/>
          <w:szCs w:val="24"/>
        </w:rPr>
        <w:t>53 F.3d at 559.</w:t>
      </w:r>
      <w:r w:rsidR="00295D15">
        <w:rPr>
          <w:rFonts w:eastAsia="Times New Roman" w:cs="Times New Roman"/>
          <w:szCs w:val="24"/>
        </w:rPr>
        <w:t xml:space="preserve"> </w:t>
      </w:r>
      <w:r w:rsidR="009178D7">
        <w:rPr>
          <w:rFonts w:eastAsia="Times New Roman" w:cs="Times New Roman"/>
          <w:szCs w:val="24"/>
        </w:rPr>
        <w:t xml:space="preserve">Thus, the </w:t>
      </w:r>
      <w:r w:rsidR="009178D7">
        <w:rPr>
          <w:rFonts w:eastAsia="Times New Roman" w:cs="Times New Roman"/>
          <w:i/>
          <w:szCs w:val="24"/>
        </w:rPr>
        <w:t xml:space="preserve">Playboy </w:t>
      </w:r>
      <w:r w:rsidR="009178D7">
        <w:rPr>
          <w:rFonts w:eastAsia="Times New Roman" w:cs="Times New Roman"/>
          <w:szCs w:val="24"/>
        </w:rPr>
        <w:t xml:space="preserve">rule </w:t>
      </w:r>
      <w:r w:rsidR="00863AB8">
        <w:rPr>
          <w:rFonts w:eastAsia="Times New Roman" w:cs="Times New Roman"/>
          <w:szCs w:val="24"/>
        </w:rPr>
        <w:t>would reach a just result in these cases as well</w:t>
      </w:r>
      <w:r w:rsidR="009178D7">
        <w:rPr>
          <w:rFonts w:eastAsia="Times New Roman" w:cs="Times New Roman"/>
          <w:szCs w:val="24"/>
        </w:rPr>
        <w:t>. Therefore,</w:t>
      </w:r>
      <w:r w:rsidR="00555B55">
        <w:rPr>
          <w:rFonts w:eastAsia="Times New Roman" w:cs="Times New Roman"/>
          <w:szCs w:val="24"/>
        </w:rPr>
        <w:t xml:space="preserve"> the Court should deny Defendants’</w:t>
      </w:r>
      <w:r w:rsidR="00AD2B49">
        <w:rPr>
          <w:rFonts w:eastAsia="Times New Roman" w:cs="Times New Roman"/>
          <w:szCs w:val="24"/>
        </w:rPr>
        <w:t xml:space="preserve"> Motion to Dismiss</w:t>
      </w:r>
      <w:r w:rsidR="009178D7">
        <w:rPr>
          <w:rFonts w:eastAsia="Times New Roman" w:cs="Times New Roman"/>
          <w:szCs w:val="24"/>
        </w:rPr>
        <w:t xml:space="preserve"> and instead </w:t>
      </w:r>
      <w:r w:rsidR="00E310A7">
        <w:rPr>
          <w:rFonts w:eastAsia="Times New Roman" w:cs="Times New Roman"/>
          <w:szCs w:val="24"/>
        </w:rPr>
        <w:t xml:space="preserve">adopt </w:t>
      </w:r>
      <w:r w:rsidR="004F5F2D">
        <w:rPr>
          <w:rFonts w:eastAsia="Times New Roman" w:cs="Times New Roman"/>
          <w:szCs w:val="24"/>
        </w:rPr>
        <w:t xml:space="preserve">the </w:t>
      </w:r>
      <w:r w:rsidR="00CF404A">
        <w:rPr>
          <w:rFonts w:eastAsia="Times New Roman" w:cs="Times New Roman"/>
          <w:szCs w:val="24"/>
        </w:rPr>
        <w:t xml:space="preserve">ratification </w:t>
      </w:r>
      <w:r w:rsidR="004F5F2D">
        <w:rPr>
          <w:rFonts w:eastAsia="Times New Roman" w:cs="Times New Roman"/>
          <w:szCs w:val="24"/>
        </w:rPr>
        <w:t xml:space="preserve">rule </w:t>
      </w:r>
      <w:r w:rsidR="00CF404A">
        <w:rPr>
          <w:rFonts w:eastAsia="Times New Roman" w:cs="Times New Roman"/>
          <w:szCs w:val="24"/>
        </w:rPr>
        <w:t xml:space="preserve">because it generates </w:t>
      </w:r>
      <w:r w:rsidR="00E310A7">
        <w:rPr>
          <w:rFonts w:eastAsia="Times New Roman" w:cs="Times New Roman"/>
          <w:szCs w:val="24"/>
        </w:rPr>
        <w:t>more consistently equitable results.</w:t>
      </w:r>
    </w:p>
    <w:p w14:paraId="7F4A8597" w14:textId="77777777" w:rsidR="00B65A59" w:rsidRDefault="009F7D2F" w:rsidP="00B65A59">
      <w:pPr>
        <w:jc w:val="center"/>
        <w:rPr>
          <w:b/>
          <w:u w:val="single"/>
        </w:rPr>
      </w:pPr>
      <w:r>
        <w:rPr>
          <w:b/>
          <w:u w:val="single"/>
        </w:rPr>
        <w:t>CONCLUSION</w:t>
      </w:r>
    </w:p>
    <w:p w14:paraId="68F3FC9F" w14:textId="77777777" w:rsidR="00B65A59" w:rsidRPr="00DB5710" w:rsidRDefault="00B65A59" w:rsidP="00DB5710">
      <w:pPr>
        <w:jc w:val="both"/>
      </w:pPr>
      <w:r>
        <w:tab/>
        <w:t>The plain me</w:t>
      </w:r>
      <w:r w:rsidR="00AF2299">
        <w:t xml:space="preserve">aning of the text, </w:t>
      </w:r>
      <w:r>
        <w:t xml:space="preserve">canons of statutory interpretation, legislative </w:t>
      </w:r>
      <w:r w:rsidR="00F52322">
        <w:t>history, public policy, case law, and inst</w:t>
      </w:r>
      <w:r w:rsidR="001C1492">
        <w:t>ant facts all support the contention</w:t>
      </w:r>
      <w:r w:rsidR="00F52322">
        <w:t xml:space="preserve"> that a post-creation written instrument may properly ratify a pre-creation oral </w:t>
      </w:r>
      <w:r w:rsidR="00D21CDC">
        <w:t xml:space="preserve">work made for hire </w:t>
      </w:r>
      <w:r w:rsidR="00F52322">
        <w:t xml:space="preserve">agreement </w:t>
      </w:r>
      <w:r w:rsidR="0071417B">
        <w:t>within the meaning of the statut</w:t>
      </w:r>
      <w:r w:rsidR="006B7704">
        <w:t>e</w:t>
      </w:r>
      <w:r w:rsidR="0071417B">
        <w:t xml:space="preserve">. </w:t>
      </w:r>
      <w:r w:rsidR="00634F32">
        <w:t>R</w:t>
      </w:r>
      <w:r w:rsidR="00416D95">
        <w:t xml:space="preserve">atification achieves the same level of </w:t>
      </w:r>
      <w:r w:rsidR="008143D7">
        <w:t>notice f</w:t>
      </w:r>
      <w:r w:rsidR="00416D95">
        <w:t xml:space="preserve">or the contracting parties while creating additional flexibility and deferring to longstanding principles of freedom of contract. </w:t>
      </w:r>
      <w:r w:rsidR="003276A5">
        <w:t xml:space="preserve">Further, </w:t>
      </w:r>
      <w:r w:rsidR="009116D3">
        <w:t>t</w:t>
      </w:r>
      <w:r w:rsidR="00D56BEB">
        <w:t>he Court should seek to pr</w:t>
      </w:r>
      <w:r w:rsidR="009116D3">
        <w:t>ovide the most equitable result. A</w:t>
      </w:r>
      <w:r w:rsidR="00D56BEB">
        <w:t xml:space="preserve"> ruling for the Defendants would</w:t>
      </w:r>
      <w:r w:rsidR="00321874">
        <w:t xml:space="preserve"> give legal countenance </w:t>
      </w:r>
      <w:r w:rsidR="009E7FE2">
        <w:t>to a manifest abuse of the law</w:t>
      </w:r>
      <w:r w:rsidR="005009CD">
        <w:t xml:space="preserve"> and create</w:t>
      </w:r>
      <w:r w:rsidR="00321874">
        <w:t xml:space="preserve"> an unnecess</w:t>
      </w:r>
      <w:r w:rsidR="001A716B">
        <w:t>ary legal loophole</w:t>
      </w:r>
      <w:r w:rsidR="00321874">
        <w:t xml:space="preserve">. </w:t>
      </w:r>
      <w:r w:rsidR="00E47F95">
        <w:t xml:space="preserve">Therefore, </w:t>
      </w:r>
      <w:r w:rsidR="00294990">
        <w:t>OGS respectfully requests that the Court deny Defendants’ 12(b)(6) Motio</w:t>
      </w:r>
      <w:r w:rsidR="00B974DA">
        <w:t xml:space="preserve">n to </w:t>
      </w:r>
      <w:proofErr w:type="gramStart"/>
      <w:r w:rsidR="00B974DA">
        <w:t>Dismiss</w:t>
      </w:r>
      <w:proofErr w:type="gramEnd"/>
      <w:r w:rsidR="00B974DA">
        <w:t xml:space="preserve"> so that it has an opportunity to mitigate the harm caused by Defendants’ theft o</w:t>
      </w:r>
      <w:r w:rsidR="00294990">
        <w:t>f its intellectual property.</w:t>
      </w:r>
    </w:p>
    <w:p w14:paraId="732F48E2" w14:textId="77777777" w:rsidR="003F0BC2" w:rsidRDefault="00DB5710" w:rsidP="00147786">
      <w:pPr>
        <w:spacing w:line="240" w:lineRule="auto"/>
        <w:jc w:val="both"/>
      </w:pPr>
      <w:r>
        <w:tab/>
      </w:r>
      <w:r>
        <w:tab/>
      </w:r>
      <w:r>
        <w:tab/>
      </w:r>
      <w:r w:rsidR="004429FD">
        <w:tab/>
      </w:r>
      <w:r w:rsidR="004429FD">
        <w:tab/>
      </w:r>
      <w:r w:rsidR="004429FD">
        <w:tab/>
        <w:t xml:space="preserve">            </w:t>
      </w:r>
      <w:r w:rsidR="003F0BC2">
        <w:t>Respectfully submitted,</w:t>
      </w:r>
      <w:r w:rsidR="003F0BC2">
        <w:tab/>
      </w:r>
      <w:r w:rsidR="003F0BC2">
        <w:tab/>
      </w:r>
      <w:r w:rsidR="00147786">
        <w:tab/>
      </w:r>
      <w:r w:rsidR="00147786">
        <w:tab/>
      </w:r>
      <w:r w:rsidR="00147786">
        <w:tab/>
      </w:r>
      <w:r w:rsidR="00147786">
        <w:tab/>
      </w:r>
    </w:p>
    <w:p w14:paraId="780C003B" w14:textId="77777777" w:rsidR="00147786" w:rsidRDefault="009E7294" w:rsidP="00DB5710">
      <w:pPr>
        <w:spacing w:line="240" w:lineRule="auto"/>
        <w:jc w:val="both"/>
      </w:pPr>
      <w:r>
        <w:t>Dated: March 21</w:t>
      </w:r>
      <w:r w:rsidR="00DB5710">
        <w:t xml:space="preserve">, 2012  </w:t>
      </w:r>
      <w:r w:rsidR="00DB5710">
        <w:tab/>
      </w:r>
      <w:r w:rsidR="00DB5710">
        <w:tab/>
      </w:r>
      <w:r w:rsidR="00DB5710">
        <w:tab/>
      </w:r>
      <w:r w:rsidR="00DB5710">
        <w:tab/>
      </w:r>
      <w:r w:rsidR="00D82FC7">
        <w:rPr>
          <w:u w:val="single"/>
        </w:rPr>
        <w:t xml:space="preserve">             </w:t>
      </w:r>
      <w:r w:rsidR="00147786">
        <w:t>_________________</w:t>
      </w:r>
    </w:p>
    <w:p w14:paraId="7F71DAA1" w14:textId="77777777" w:rsidR="003F0BC2" w:rsidRPr="00AE3E17" w:rsidRDefault="00B10252" w:rsidP="00AE3E17">
      <w:pPr>
        <w:spacing w:line="240" w:lineRule="auto"/>
        <w:ind w:left="4320" w:firstLine="720"/>
        <w:jc w:val="both"/>
      </w:pPr>
      <w:r>
        <w:rPr>
          <w:rFonts w:eastAsia="Times New Roman" w:cs="Times New Roman"/>
          <w:szCs w:val="24"/>
        </w:rPr>
        <w:t>&lt;redacted&gt;&lt;/redacted&gt;</w:t>
      </w:r>
      <w:bookmarkStart w:id="0" w:name="_GoBack"/>
      <w:bookmarkEnd w:id="0"/>
    </w:p>
    <w:p w14:paraId="4DDD54CA" w14:textId="77777777" w:rsidR="00C926BD" w:rsidRDefault="00147786" w:rsidP="00C926BD">
      <w:pPr>
        <w:spacing w:line="240" w:lineRule="auto"/>
        <w:ind w:left="5040"/>
        <w:jc w:val="both"/>
        <w:rPr>
          <w:i/>
        </w:rPr>
      </w:pPr>
      <w:proofErr w:type="gramStart"/>
      <w:r>
        <w:rPr>
          <w:i/>
        </w:rPr>
        <w:t>Attorney for Plaintiff OGS TV, Inc.</w:t>
      </w:r>
      <w:proofErr w:type="gramEnd"/>
    </w:p>
    <w:sectPr w:rsidR="00C926BD" w:rsidSect="00C926BD">
      <w:headerReference w:type="defaul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9A79F" w14:textId="77777777" w:rsidR="00E45A24" w:rsidRDefault="00E45A24">
      <w:pPr>
        <w:spacing w:line="240" w:lineRule="auto"/>
      </w:pPr>
      <w:r>
        <w:separator/>
      </w:r>
    </w:p>
  </w:endnote>
  <w:endnote w:type="continuationSeparator" w:id="0">
    <w:p w14:paraId="6F5AB739" w14:textId="77777777" w:rsidR="00E45A24" w:rsidRDefault="00E45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A9E6D" w14:textId="77777777" w:rsidR="00E45A24" w:rsidRDefault="00E45A24">
      <w:pPr>
        <w:spacing w:line="240" w:lineRule="auto"/>
      </w:pPr>
      <w:r>
        <w:separator/>
      </w:r>
    </w:p>
  </w:footnote>
  <w:footnote w:type="continuationSeparator" w:id="0">
    <w:p w14:paraId="029C50A1" w14:textId="77777777" w:rsidR="00E45A24" w:rsidRDefault="00E45A24">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9905"/>
      <w:docPartObj>
        <w:docPartGallery w:val="Page Numbers (Top of Page)"/>
        <w:docPartUnique/>
      </w:docPartObj>
    </w:sdtPr>
    <w:sdtEndPr>
      <w:rPr>
        <w:noProof/>
      </w:rPr>
    </w:sdtEndPr>
    <w:sdtContent>
      <w:p w14:paraId="108F3E8A" w14:textId="77777777" w:rsidR="00C6578B" w:rsidRDefault="00C6578B">
        <w:pPr>
          <w:pStyle w:val="Header"/>
          <w:jc w:val="right"/>
        </w:pPr>
        <w:r>
          <w:fldChar w:fldCharType="begin"/>
        </w:r>
        <w:r>
          <w:instrText xml:space="preserve"> PAGE   \* MERGEFORMAT </w:instrText>
        </w:r>
        <w:r>
          <w:fldChar w:fldCharType="separate"/>
        </w:r>
        <w:r w:rsidR="00B10252">
          <w:rPr>
            <w:noProof/>
          </w:rPr>
          <w:t>15</w:t>
        </w:r>
        <w:r>
          <w:rPr>
            <w:noProof/>
          </w:rPr>
          <w:fldChar w:fldCharType="end"/>
        </w:r>
      </w:p>
    </w:sdtContent>
  </w:sdt>
  <w:p w14:paraId="625EE73B" w14:textId="77777777" w:rsidR="00C6578B" w:rsidRDefault="00C6578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17B84"/>
    <w:multiLevelType w:val="multilevel"/>
    <w:tmpl w:val="26667F7E"/>
    <w:lvl w:ilvl="0">
      <w:start w:val="1"/>
      <w:numFmt w:val="upperRoman"/>
      <w:lvlText w:val="%1."/>
      <w:lvlJc w:val="left"/>
      <w:pPr>
        <w:ind w:left="1080" w:hanging="720"/>
      </w:pPr>
      <w:rPr>
        <w:rFonts w:hint="default"/>
        <w:b/>
      </w:rPr>
    </w:lvl>
    <w:lvl w:ilvl="1">
      <w:start w:val="1"/>
      <w:numFmt w:val="upperLetter"/>
      <w:lvlText w:val="%2."/>
      <w:lvlJc w:val="left"/>
      <w:pPr>
        <w:ind w:left="1440" w:hanging="360"/>
      </w:pPr>
      <w:rPr>
        <w:b/>
        <w:i/>
      </w:r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5DD4DC5"/>
    <w:multiLevelType w:val="multilevel"/>
    <w:tmpl w:val="26667F7E"/>
    <w:numStyleLink w:val="LegalWritingHeadingsTemplate"/>
  </w:abstractNum>
  <w:abstractNum w:abstractNumId="2">
    <w:nsid w:val="30D77722"/>
    <w:multiLevelType w:val="multilevel"/>
    <w:tmpl w:val="5D70E960"/>
    <w:styleLink w:val="Standard"/>
    <w:lvl w:ilvl="0">
      <w:start w:val="1"/>
      <w:numFmt w:val="upperRoman"/>
      <w:lvlText w:val="%1."/>
      <w:lvlJc w:val="left"/>
      <w:pPr>
        <w:ind w:left="720" w:hanging="720"/>
      </w:pPr>
      <w:rPr>
        <w:rFonts w:hint="default"/>
      </w:rPr>
    </w:lvl>
    <w:lvl w:ilvl="1">
      <w:start w:val="1"/>
      <w:numFmt w:val="upperLetter"/>
      <w:lvlText w:val="%2."/>
      <w:lvlJc w:val="left"/>
      <w:pPr>
        <w:ind w:left="1080" w:hanging="360"/>
      </w:pPr>
      <w:rPr>
        <w:rFonts w:hint="default"/>
      </w:rPr>
    </w:lvl>
    <w:lvl w:ilvl="2">
      <w:start w:val="1"/>
      <w:numFmt w:val="decimal"/>
      <w:lvlText w:val="(%3)"/>
      <w:lvlJc w:val="right"/>
      <w:pPr>
        <w:ind w:left="1620" w:hanging="180"/>
      </w:pPr>
      <w:rPr>
        <w:rFonts w:hint="default"/>
      </w:rPr>
    </w:lvl>
    <w:lvl w:ilvl="3">
      <w:start w:val="1"/>
      <w:numFmt w:val="lowerLetter"/>
      <w:lvlText w:val="(%4)"/>
      <w:lvlJc w:val="left"/>
      <w:pPr>
        <w:ind w:left="2070" w:hanging="360"/>
      </w:pPr>
      <w:rPr>
        <w:rFonts w:hint="default"/>
      </w:rPr>
    </w:lvl>
    <w:lvl w:ilvl="4">
      <w:start w:val="1"/>
      <w:numFmt w:val="lowerRoman"/>
      <w:lvlText w:val="(%5)"/>
      <w:lvlJc w:val="left"/>
      <w:pPr>
        <w:ind w:left="2520" w:hanging="360"/>
      </w:pPr>
      <w:rPr>
        <w:rFonts w:hint="default"/>
      </w:rPr>
    </w:lvl>
    <w:lvl w:ilvl="5">
      <w:start w:val="1"/>
      <w:numFmt w:val="bullet"/>
      <w:lvlText w:val=""/>
      <w:lvlJc w:val="left"/>
      <w:pPr>
        <w:ind w:left="3060" w:hanging="180"/>
      </w:pPr>
      <w:rPr>
        <w:rFonts w:ascii="Symbol" w:hAnsi="Symbol" w:hint="default"/>
        <w:color w:val="auto"/>
      </w:rPr>
    </w:lvl>
    <w:lvl w:ilvl="6">
      <w:start w:val="1"/>
      <w:numFmt w:val="bullet"/>
      <w:lvlText w:val=""/>
      <w:lvlJc w:val="left"/>
      <w:pPr>
        <w:ind w:left="3960" w:hanging="360"/>
      </w:pPr>
      <w:rPr>
        <w:rFonts w:ascii="Symbol" w:hAnsi="Symbol" w:hint="default"/>
        <w:color w:val="auto"/>
      </w:rPr>
    </w:lvl>
    <w:lvl w:ilvl="7">
      <w:start w:val="1"/>
      <w:numFmt w:val="lowerLetter"/>
      <w:lvlText w:val="%8."/>
      <w:lvlJc w:val="left"/>
      <w:pPr>
        <w:ind w:left="4680" w:hanging="360"/>
      </w:pPr>
      <w:rPr>
        <w:rFonts w:hint="default"/>
      </w:rPr>
    </w:lvl>
    <w:lvl w:ilvl="8">
      <w:start w:val="1"/>
      <w:numFmt w:val="lowerRoman"/>
      <w:lvlText w:val="%9."/>
      <w:lvlJc w:val="right"/>
      <w:pPr>
        <w:ind w:left="5220" w:hanging="180"/>
      </w:pPr>
      <w:rPr>
        <w:rFonts w:hint="default"/>
      </w:rPr>
    </w:lvl>
  </w:abstractNum>
  <w:abstractNum w:abstractNumId="3">
    <w:nsid w:val="3231502A"/>
    <w:multiLevelType w:val="multilevel"/>
    <w:tmpl w:val="26667F7E"/>
    <w:styleLink w:val="LegalWritingHeadingsTemplate"/>
    <w:lvl w:ilvl="0">
      <w:start w:val="1"/>
      <w:numFmt w:val="upperRoman"/>
      <w:lvlText w:val="%1."/>
      <w:lvlJc w:val="left"/>
      <w:pPr>
        <w:ind w:left="1080" w:hanging="720"/>
      </w:pPr>
      <w:rPr>
        <w:rFonts w:hint="default"/>
        <w:b/>
      </w:rPr>
    </w:lvl>
    <w:lvl w:ilvl="1">
      <w:start w:val="1"/>
      <w:numFmt w:val="upperLetter"/>
      <w:lvlText w:val="%2."/>
      <w:lvlJc w:val="left"/>
      <w:pPr>
        <w:ind w:left="1440" w:hanging="360"/>
      </w:pPr>
      <w:rPr>
        <w:b/>
        <w:i/>
      </w:r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
  </w:num>
  <w:num w:numId="3">
    <w:abstractNumId w:val="2"/>
  </w:num>
  <w:num w:numId="4">
    <w:abstractNumId w:val="2"/>
  </w:num>
  <w:num w:numId="5">
    <w:abstractNumId w:val="2"/>
  </w:num>
  <w:num w:numId="6">
    <w:abstractNumId w:val="3"/>
  </w:num>
  <w:num w:numId="7">
    <w:abstractNumId w:val="1"/>
    <w:lvlOverride w:ilvl="2">
      <w:lvl w:ilvl="2">
        <w:start w:val="1"/>
        <w:numFmt w:val="decimal"/>
        <w:lvlText w:val="%3."/>
        <w:lvlJc w:val="right"/>
        <w:pPr>
          <w:ind w:left="2160" w:hanging="180"/>
        </w:pPr>
        <w:rPr>
          <w:b w:val="0"/>
        </w:rPr>
      </w:lvl>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FE3"/>
    <w:rsid w:val="000029AF"/>
    <w:rsid w:val="00003C09"/>
    <w:rsid w:val="00004E1D"/>
    <w:rsid w:val="0001236D"/>
    <w:rsid w:val="00012F53"/>
    <w:rsid w:val="00013CCB"/>
    <w:rsid w:val="00034E83"/>
    <w:rsid w:val="00035429"/>
    <w:rsid w:val="00036A34"/>
    <w:rsid w:val="00040E81"/>
    <w:rsid w:val="00040F1D"/>
    <w:rsid w:val="00051067"/>
    <w:rsid w:val="0006198A"/>
    <w:rsid w:val="00063B7A"/>
    <w:rsid w:val="0006760D"/>
    <w:rsid w:val="00074E58"/>
    <w:rsid w:val="00080205"/>
    <w:rsid w:val="00092B74"/>
    <w:rsid w:val="000A0EFF"/>
    <w:rsid w:val="000A6EEC"/>
    <w:rsid w:val="000B24CD"/>
    <w:rsid w:val="000C0963"/>
    <w:rsid w:val="000C57C9"/>
    <w:rsid w:val="000D109D"/>
    <w:rsid w:val="000D74E6"/>
    <w:rsid w:val="000E3951"/>
    <w:rsid w:val="000E5926"/>
    <w:rsid w:val="000E6DDA"/>
    <w:rsid w:val="000F58BF"/>
    <w:rsid w:val="001011D9"/>
    <w:rsid w:val="00106FFC"/>
    <w:rsid w:val="001078CF"/>
    <w:rsid w:val="00107C4F"/>
    <w:rsid w:val="001157FB"/>
    <w:rsid w:val="00116255"/>
    <w:rsid w:val="00120664"/>
    <w:rsid w:val="00121193"/>
    <w:rsid w:val="001270EF"/>
    <w:rsid w:val="00133583"/>
    <w:rsid w:val="00142290"/>
    <w:rsid w:val="00146F2F"/>
    <w:rsid w:val="0014705E"/>
    <w:rsid w:val="00147786"/>
    <w:rsid w:val="00147B3F"/>
    <w:rsid w:val="00147BFD"/>
    <w:rsid w:val="0015564C"/>
    <w:rsid w:val="00156F97"/>
    <w:rsid w:val="0016208E"/>
    <w:rsid w:val="00163003"/>
    <w:rsid w:val="00163915"/>
    <w:rsid w:val="00172464"/>
    <w:rsid w:val="001731A6"/>
    <w:rsid w:val="00174929"/>
    <w:rsid w:val="00176DDC"/>
    <w:rsid w:val="00182CF0"/>
    <w:rsid w:val="001905CF"/>
    <w:rsid w:val="001A682E"/>
    <w:rsid w:val="001A716B"/>
    <w:rsid w:val="001B0B36"/>
    <w:rsid w:val="001B4714"/>
    <w:rsid w:val="001B4F63"/>
    <w:rsid w:val="001B5D6E"/>
    <w:rsid w:val="001C1492"/>
    <w:rsid w:val="001C737D"/>
    <w:rsid w:val="001D2A27"/>
    <w:rsid w:val="001D5A23"/>
    <w:rsid w:val="001D6862"/>
    <w:rsid w:val="001D7020"/>
    <w:rsid w:val="001D7084"/>
    <w:rsid w:val="001E30ED"/>
    <w:rsid w:val="001E6B73"/>
    <w:rsid w:val="001E79D0"/>
    <w:rsid w:val="001F4C00"/>
    <w:rsid w:val="001F7220"/>
    <w:rsid w:val="00200630"/>
    <w:rsid w:val="002029E6"/>
    <w:rsid w:val="00205BEC"/>
    <w:rsid w:val="00205D61"/>
    <w:rsid w:val="00207D71"/>
    <w:rsid w:val="00213C9F"/>
    <w:rsid w:val="0022026D"/>
    <w:rsid w:val="00220760"/>
    <w:rsid w:val="002217FB"/>
    <w:rsid w:val="0022202D"/>
    <w:rsid w:val="00233944"/>
    <w:rsid w:val="00235147"/>
    <w:rsid w:val="00236EAA"/>
    <w:rsid w:val="00240E2E"/>
    <w:rsid w:val="0024505B"/>
    <w:rsid w:val="0024619F"/>
    <w:rsid w:val="00247628"/>
    <w:rsid w:val="00250E19"/>
    <w:rsid w:val="00253AB2"/>
    <w:rsid w:val="002571C8"/>
    <w:rsid w:val="00257457"/>
    <w:rsid w:val="00262397"/>
    <w:rsid w:val="00264E8D"/>
    <w:rsid w:val="00265641"/>
    <w:rsid w:val="00265685"/>
    <w:rsid w:val="00271BC7"/>
    <w:rsid w:val="00272BFB"/>
    <w:rsid w:val="00281CE4"/>
    <w:rsid w:val="002861DA"/>
    <w:rsid w:val="00287613"/>
    <w:rsid w:val="00290B40"/>
    <w:rsid w:val="002926A4"/>
    <w:rsid w:val="00294990"/>
    <w:rsid w:val="00295D15"/>
    <w:rsid w:val="002A2BEF"/>
    <w:rsid w:val="002A3DDE"/>
    <w:rsid w:val="002A452B"/>
    <w:rsid w:val="002A5043"/>
    <w:rsid w:val="002A7B33"/>
    <w:rsid w:val="002B37D1"/>
    <w:rsid w:val="002B76EF"/>
    <w:rsid w:val="002C18B4"/>
    <w:rsid w:val="002C2F65"/>
    <w:rsid w:val="002C396D"/>
    <w:rsid w:val="002C66D3"/>
    <w:rsid w:val="002C6CB8"/>
    <w:rsid w:val="002D05AB"/>
    <w:rsid w:val="002D31E0"/>
    <w:rsid w:val="002D5F32"/>
    <w:rsid w:val="002E3DF7"/>
    <w:rsid w:val="002E7B43"/>
    <w:rsid w:val="002F2942"/>
    <w:rsid w:val="002F45DC"/>
    <w:rsid w:val="002F671D"/>
    <w:rsid w:val="00303A2A"/>
    <w:rsid w:val="00307A11"/>
    <w:rsid w:val="00307FE6"/>
    <w:rsid w:val="0031376F"/>
    <w:rsid w:val="003137B7"/>
    <w:rsid w:val="003139B1"/>
    <w:rsid w:val="00321874"/>
    <w:rsid w:val="0032766B"/>
    <w:rsid w:val="003276A5"/>
    <w:rsid w:val="00330B47"/>
    <w:rsid w:val="0033610A"/>
    <w:rsid w:val="0033656F"/>
    <w:rsid w:val="00336572"/>
    <w:rsid w:val="00342ABA"/>
    <w:rsid w:val="0034588E"/>
    <w:rsid w:val="00346B2B"/>
    <w:rsid w:val="00351176"/>
    <w:rsid w:val="003524F2"/>
    <w:rsid w:val="0035264B"/>
    <w:rsid w:val="00354C76"/>
    <w:rsid w:val="003556CB"/>
    <w:rsid w:val="00360870"/>
    <w:rsid w:val="00362B60"/>
    <w:rsid w:val="00365B38"/>
    <w:rsid w:val="003669F7"/>
    <w:rsid w:val="003671FC"/>
    <w:rsid w:val="003700AF"/>
    <w:rsid w:val="003701FB"/>
    <w:rsid w:val="00371A2C"/>
    <w:rsid w:val="00371C3C"/>
    <w:rsid w:val="0037326D"/>
    <w:rsid w:val="00373EE4"/>
    <w:rsid w:val="00375183"/>
    <w:rsid w:val="00377363"/>
    <w:rsid w:val="00377A0F"/>
    <w:rsid w:val="00380AAC"/>
    <w:rsid w:val="0038156F"/>
    <w:rsid w:val="00381D29"/>
    <w:rsid w:val="003826D9"/>
    <w:rsid w:val="00383599"/>
    <w:rsid w:val="00390E96"/>
    <w:rsid w:val="0039112A"/>
    <w:rsid w:val="003951F1"/>
    <w:rsid w:val="0039631B"/>
    <w:rsid w:val="003A4800"/>
    <w:rsid w:val="003A4ED8"/>
    <w:rsid w:val="003A7265"/>
    <w:rsid w:val="003B206F"/>
    <w:rsid w:val="003B2270"/>
    <w:rsid w:val="003B3BF5"/>
    <w:rsid w:val="003D4F47"/>
    <w:rsid w:val="003D547C"/>
    <w:rsid w:val="003D54FA"/>
    <w:rsid w:val="003E1A1C"/>
    <w:rsid w:val="003E231A"/>
    <w:rsid w:val="003F0BC2"/>
    <w:rsid w:val="003F3E2E"/>
    <w:rsid w:val="003F4C5C"/>
    <w:rsid w:val="003F4DD9"/>
    <w:rsid w:val="003F6359"/>
    <w:rsid w:val="00402DA4"/>
    <w:rsid w:val="00403C9A"/>
    <w:rsid w:val="00403D02"/>
    <w:rsid w:val="00415F90"/>
    <w:rsid w:val="00416D95"/>
    <w:rsid w:val="00424598"/>
    <w:rsid w:val="00427710"/>
    <w:rsid w:val="00427C08"/>
    <w:rsid w:val="004334B4"/>
    <w:rsid w:val="004356D0"/>
    <w:rsid w:val="00436AD2"/>
    <w:rsid w:val="004429FD"/>
    <w:rsid w:val="00443B23"/>
    <w:rsid w:val="00444EAE"/>
    <w:rsid w:val="0045104C"/>
    <w:rsid w:val="00453FAD"/>
    <w:rsid w:val="004672D3"/>
    <w:rsid w:val="00471B97"/>
    <w:rsid w:val="00471CAA"/>
    <w:rsid w:val="004736EE"/>
    <w:rsid w:val="00474CFB"/>
    <w:rsid w:val="00481103"/>
    <w:rsid w:val="004816CF"/>
    <w:rsid w:val="0048482B"/>
    <w:rsid w:val="00493FCA"/>
    <w:rsid w:val="004959B2"/>
    <w:rsid w:val="004962F6"/>
    <w:rsid w:val="004A4AEB"/>
    <w:rsid w:val="004A51C3"/>
    <w:rsid w:val="004C1168"/>
    <w:rsid w:val="004C5FE4"/>
    <w:rsid w:val="004D1607"/>
    <w:rsid w:val="004D1A04"/>
    <w:rsid w:val="004D3244"/>
    <w:rsid w:val="004D4C7F"/>
    <w:rsid w:val="004E13DB"/>
    <w:rsid w:val="004E485A"/>
    <w:rsid w:val="004E544E"/>
    <w:rsid w:val="004F5F2D"/>
    <w:rsid w:val="005009CD"/>
    <w:rsid w:val="00502876"/>
    <w:rsid w:val="00503593"/>
    <w:rsid w:val="00511CE1"/>
    <w:rsid w:val="00513E6E"/>
    <w:rsid w:val="0051744A"/>
    <w:rsid w:val="00527691"/>
    <w:rsid w:val="00533B6C"/>
    <w:rsid w:val="00534000"/>
    <w:rsid w:val="00534476"/>
    <w:rsid w:val="00545DAB"/>
    <w:rsid w:val="00545FB0"/>
    <w:rsid w:val="00555397"/>
    <w:rsid w:val="00555B55"/>
    <w:rsid w:val="005569D5"/>
    <w:rsid w:val="005569F8"/>
    <w:rsid w:val="00564664"/>
    <w:rsid w:val="00581BB9"/>
    <w:rsid w:val="005823F2"/>
    <w:rsid w:val="00583A4D"/>
    <w:rsid w:val="00593070"/>
    <w:rsid w:val="00593C9F"/>
    <w:rsid w:val="005958FD"/>
    <w:rsid w:val="00597465"/>
    <w:rsid w:val="00597E6C"/>
    <w:rsid w:val="005A16B1"/>
    <w:rsid w:val="005A291D"/>
    <w:rsid w:val="005A4738"/>
    <w:rsid w:val="005A4788"/>
    <w:rsid w:val="005A7B40"/>
    <w:rsid w:val="005B343A"/>
    <w:rsid w:val="005B461B"/>
    <w:rsid w:val="005B55CF"/>
    <w:rsid w:val="005B6850"/>
    <w:rsid w:val="005B7948"/>
    <w:rsid w:val="005C242F"/>
    <w:rsid w:val="005C2E01"/>
    <w:rsid w:val="005C2FD2"/>
    <w:rsid w:val="005D1A32"/>
    <w:rsid w:val="005D248E"/>
    <w:rsid w:val="005D3254"/>
    <w:rsid w:val="005E49F4"/>
    <w:rsid w:val="005E6FF7"/>
    <w:rsid w:val="005F057E"/>
    <w:rsid w:val="005F36F0"/>
    <w:rsid w:val="005F4B36"/>
    <w:rsid w:val="0060100A"/>
    <w:rsid w:val="00604FDD"/>
    <w:rsid w:val="0061023F"/>
    <w:rsid w:val="00614066"/>
    <w:rsid w:val="00620289"/>
    <w:rsid w:val="00621B88"/>
    <w:rsid w:val="00623F85"/>
    <w:rsid w:val="006253F1"/>
    <w:rsid w:val="0062680A"/>
    <w:rsid w:val="00627916"/>
    <w:rsid w:val="0063279C"/>
    <w:rsid w:val="00634C09"/>
    <w:rsid w:val="00634F32"/>
    <w:rsid w:val="00635416"/>
    <w:rsid w:val="00636C63"/>
    <w:rsid w:val="00637723"/>
    <w:rsid w:val="00643E1F"/>
    <w:rsid w:val="00645EB9"/>
    <w:rsid w:val="006504EF"/>
    <w:rsid w:val="00654C19"/>
    <w:rsid w:val="00656981"/>
    <w:rsid w:val="00661F43"/>
    <w:rsid w:val="006630BD"/>
    <w:rsid w:val="006661CF"/>
    <w:rsid w:val="00666919"/>
    <w:rsid w:val="00670539"/>
    <w:rsid w:val="00676502"/>
    <w:rsid w:val="00684C51"/>
    <w:rsid w:val="00687A6E"/>
    <w:rsid w:val="006920EF"/>
    <w:rsid w:val="006927D7"/>
    <w:rsid w:val="006951E9"/>
    <w:rsid w:val="0069576A"/>
    <w:rsid w:val="006A1E2B"/>
    <w:rsid w:val="006A262E"/>
    <w:rsid w:val="006A3370"/>
    <w:rsid w:val="006A7413"/>
    <w:rsid w:val="006B0CAD"/>
    <w:rsid w:val="006B1B85"/>
    <w:rsid w:val="006B3896"/>
    <w:rsid w:val="006B7704"/>
    <w:rsid w:val="006B7E95"/>
    <w:rsid w:val="006C05F1"/>
    <w:rsid w:val="006C1C30"/>
    <w:rsid w:val="006C36C9"/>
    <w:rsid w:val="006C3FA3"/>
    <w:rsid w:val="006C6CB8"/>
    <w:rsid w:val="006C7CAD"/>
    <w:rsid w:val="006D2365"/>
    <w:rsid w:val="006D2D15"/>
    <w:rsid w:val="006E0357"/>
    <w:rsid w:val="006E7ED3"/>
    <w:rsid w:val="006F333E"/>
    <w:rsid w:val="006F386B"/>
    <w:rsid w:val="006F4C3D"/>
    <w:rsid w:val="006F78FB"/>
    <w:rsid w:val="007058D6"/>
    <w:rsid w:val="007059C0"/>
    <w:rsid w:val="00710C70"/>
    <w:rsid w:val="0071417B"/>
    <w:rsid w:val="00715000"/>
    <w:rsid w:val="00716B9F"/>
    <w:rsid w:val="007218D5"/>
    <w:rsid w:val="007229D7"/>
    <w:rsid w:val="00727C3B"/>
    <w:rsid w:val="00730F9E"/>
    <w:rsid w:val="00732F29"/>
    <w:rsid w:val="007343EA"/>
    <w:rsid w:val="00740579"/>
    <w:rsid w:val="00740875"/>
    <w:rsid w:val="00755B0A"/>
    <w:rsid w:val="00756B87"/>
    <w:rsid w:val="0076006B"/>
    <w:rsid w:val="00762F7D"/>
    <w:rsid w:val="00770A29"/>
    <w:rsid w:val="0077203D"/>
    <w:rsid w:val="00772785"/>
    <w:rsid w:val="007766DE"/>
    <w:rsid w:val="00784C4D"/>
    <w:rsid w:val="007873D5"/>
    <w:rsid w:val="00791E98"/>
    <w:rsid w:val="0079491E"/>
    <w:rsid w:val="00794AA0"/>
    <w:rsid w:val="007A21C2"/>
    <w:rsid w:val="007A3EA0"/>
    <w:rsid w:val="007A5290"/>
    <w:rsid w:val="007B026D"/>
    <w:rsid w:val="007B0BEA"/>
    <w:rsid w:val="007C134C"/>
    <w:rsid w:val="007C331D"/>
    <w:rsid w:val="007C3B44"/>
    <w:rsid w:val="007C4A6C"/>
    <w:rsid w:val="007D00F3"/>
    <w:rsid w:val="007D01D3"/>
    <w:rsid w:val="007D0A0A"/>
    <w:rsid w:val="007D3466"/>
    <w:rsid w:val="007D389B"/>
    <w:rsid w:val="007E0473"/>
    <w:rsid w:val="007E101C"/>
    <w:rsid w:val="007E1D5A"/>
    <w:rsid w:val="007F31E7"/>
    <w:rsid w:val="007F32D2"/>
    <w:rsid w:val="007F39A4"/>
    <w:rsid w:val="008031A3"/>
    <w:rsid w:val="0080652D"/>
    <w:rsid w:val="00807D11"/>
    <w:rsid w:val="00807F3A"/>
    <w:rsid w:val="00811BFA"/>
    <w:rsid w:val="00811FB3"/>
    <w:rsid w:val="008128DA"/>
    <w:rsid w:val="008143D7"/>
    <w:rsid w:val="008149FC"/>
    <w:rsid w:val="008173ED"/>
    <w:rsid w:val="00817A56"/>
    <w:rsid w:val="00822364"/>
    <w:rsid w:val="008226AE"/>
    <w:rsid w:val="00827C6C"/>
    <w:rsid w:val="00830CF4"/>
    <w:rsid w:val="00832063"/>
    <w:rsid w:val="00836380"/>
    <w:rsid w:val="00842CA7"/>
    <w:rsid w:val="00843628"/>
    <w:rsid w:val="00843F02"/>
    <w:rsid w:val="0084411A"/>
    <w:rsid w:val="0084540B"/>
    <w:rsid w:val="00863AB8"/>
    <w:rsid w:val="00867738"/>
    <w:rsid w:val="0087142D"/>
    <w:rsid w:val="00871485"/>
    <w:rsid w:val="008728EE"/>
    <w:rsid w:val="00872BB1"/>
    <w:rsid w:val="00874E9B"/>
    <w:rsid w:val="008774A4"/>
    <w:rsid w:val="00877D6C"/>
    <w:rsid w:val="00881023"/>
    <w:rsid w:val="0088411E"/>
    <w:rsid w:val="0088611E"/>
    <w:rsid w:val="00886660"/>
    <w:rsid w:val="008876BA"/>
    <w:rsid w:val="00890E4B"/>
    <w:rsid w:val="00891D37"/>
    <w:rsid w:val="00896A7D"/>
    <w:rsid w:val="008A20F7"/>
    <w:rsid w:val="008A3EFF"/>
    <w:rsid w:val="008A5E15"/>
    <w:rsid w:val="008A7F99"/>
    <w:rsid w:val="008B01BC"/>
    <w:rsid w:val="008B072B"/>
    <w:rsid w:val="008B5B9B"/>
    <w:rsid w:val="008B5BA6"/>
    <w:rsid w:val="008C08BA"/>
    <w:rsid w:val="008C5099"/>
    <w:rsid w:val="008C5FA6"/>
    <w:rsid w:val="008C616C"/>
    <w:rsid w:val="008D170E"/>
    <w:rsid w:val="008D2FF9"/>
    <w:rsid w:val="008F3858"/>
    <w:rsid w:val="008F435B"/>
    <w:rsid w:val="008F4E08"/>
    <w:rsid w:val="008F62F2"/>
    <w:rsid w:val="008F6DA1"/>
    <w:rsid w:val="008F72EB"/>
    <w:rsid w:val="009010D3"/>
    <w:rsid w:val="009056EC"/>
    <w:rsid w:val="00906AC7"/>
    <w:rsid w:val="00910367"/>
    <w:rsid w:val="0091043C"/>
    <w:rsid w:val="00910E05"/>
    <w:rsid w:val="009116D3"/>
    <w:rsid w:val="00913126"/>
    <w:rsid w:val="0091558E"/>
    <w:rsid w:val="00915F42"/>
    <w:rsid w:val="009178D7"/>
    <w:rsid w:val="00923ADA"/>
    <w:rsid w:val="00925EEB"/>
    <w:rsid w:val="00926D30"/>
    <w:rsid w:val="00936B83"/>
    <w:rsid w:val="0094572A"/>
    <w:rsid w:val="00945FF1"/>
    <w:rsid w:val="0095091F"/>
    <w:rsid w:val="00950A23"/>
    <w:rsid w:val="00952DC8"/>
    <w:rsid w:val="00953A13"/>
    <w:rsid w:val="00957557"/>
    <w:rsid w:val="00957815"/>
    <w:rsid w:val="00961840"/>
    <w:rsid w:val="00961B8F"/>
    <w:rsid w:val="00966689"/>
    <w:rsid w:val="00971812"/>
    <w:rsid w:val="00972631"/>
    <w:rsid w:val="00973B9E"/>
    <w:rsid w:val="00975A88"/>
    <w:rsid w:val="00981E42"/>
    <w:rsid w:val="00985C20"/>
    <w:rsid w:val="00987B5A"/>
    <w:rsid w:val="00990CA1"/>
    <w:rsid w:val="0099260E"/>
    <w:rsid w:val="00992B70"/>
    <w:rsid w:val="009979A4"/>
    <w:rsid w:val="009A24B4"/>
    <w:rsid w:val="009A282D"/>
    <w:rsid w:val="009A3326"/>
    <w:rsid w:val="009A34FB"/>
    <w:rsid w:val="009A4D75"/>
    <w:rsid w:val="009A6FE4"/>
    <w:rsid w:val="009A72EC"/>
    <w:rsid w:val="009B01C9"/>
    <w:rsid w:val="009C157D"/>
    <w:rsid w:val="009C29F9"/>
    <w:rsid w:val="009C594A"/>
    <w:rsid w:val="009C60FF"/>
    <w:rsid w:val="009C7C06"/>
    <w:rsid w:val="009D0899"/>
    <w:rsid w:val="009D0EA5"/>
    <w:rsid w:val="009D2B13"/>
    <w:rsid w:val="009D4D8C"/>
    <w:rsid w:val="009D5012"/>
    <w:rsid w:val="009E4138"/>
    <w:rsid w:val="009E557F"/>
    <w:rsid w:val="009E6A51"/>
    <w:rsid w:val="009E7294"/>
    <w:rsid w:val="009E7FE2"/>
    <w:rsid w:val="009F314F"/>
    <w:rsid w:val="009F58F8"/>
    <w:rsid w:val="009F72FB"/>
    <w:rsid w:val="009F7D2F"/>
    <w:rsid w:val="00A03D00"/>
    <w:rsid w:val="00A046DB"/>
    <w:rsid w:val="00A04978"/>
    <w:rsid w:val="00A059BF"/>
    <w:rsid w:val="00A0638E"/>
    <w:rsid w:val="00A11F81"/>
    <w:rsid w:val="00A12A1B"/>
    <w:rsid w:val="00A137E0"/>
    <w:rsid w:val="00A1491C"/>
    <w:rsid w:val="00A21079"/>
    <w:rsid w:val="00A227D4"/>
    <w:rsid w:val="00A22F6F"/>
    <w:rsid w:val="00A33B70"/>
    <w:rsid w:val="00A35372"/>
    <w:rsid w:val="00A35803"/>
    <w:rsid w:val="00A4070C"/>
    <w:rsid w:val="00A41FE3"/>
    <w:rsid w:val="00A43B1C"/>
    <w:rsid w:val="00A45B7D"/>
    <w:rsid w:val="00A472F2"/>
    <w:rsid w:val="00A47327"/>
    <w:rsid w:val="00A51938"/>
    <w:rsid w:val="00A56E3C"/>
    <w:rsid w:val="00A571C3"/>
    <w:rsid w:val="00A574E4"/>
    <w:rsid w:val="00A604FD"/>
    <w:rsid w:val="00A60890"/>
    <w:rsid w:val="00A62B0B"/>
    <w:rsid w:val="00A6418B"/>
    <w:rsid w:val="00A70252"/>
    <w:rsid w:val="00A7636C"/>
    <w:rsid w:val="00A77CD4"/>
    <w:rsid w:val="00A77DA1"/>
    <w:rsid w:val="00A80D3A"/>
    <w:rsid w:val="00A824F1"/>
    <w:rsid w:val="00A829B8"/>
    <w:rsid w:val="00A83887"/>
    <w:rsid w:val="00A85CBD"/>
    <w:rsid w:val="00A879EC"/>
    <w:rsid w:val="00A90E79"/>
    <w:rsid w:val="00A95DC2"/>
    <w:rsid w:val="00A96A27"/>
    <w:rsid w:val="00AA7867"/>
    <w:rsid w:val="00AA79DC"/>
    <w:rsid w:val="00AA7F8E"/>
    <w:rsid w:val="00AB0357"/>
    <w:rsid w:val="00AB3054"/>
    <w:rsid w:val="00AB33C0"/>
    <w:rsid w:val="00AB70C3"/>
    <w:rsid w:val="00AB714C"/>
    <w:rsid w:val="00AC0FAD"/>
    <w:rsid w:val="00AC2ECA"/>
    <w:rsid w:val="00AC4667"/>
    <w:rsid w:val="00AD06A9"/>
    <w:rsid w:val="00AD2B49"/>
    <w:rsid w:val="00AD4183"/>
    <w:rsid w:val="00AE373C"/>
    <w:rsid w:val="00AE3E17"/>
    <w:rsid w:val="00AE42F8"/>
    <w:rsid w:val="00AE4CDE"/>
    <w:rsid w:val="00AE5AB2"/>
    <w:rsid w:val="00AE7749"/>
    <w:rsid w:val="00AF2299"/>
    <w:rsid w:val="00AF268D"/>
    <w:rsid w:val="00AF42C0"/>
    <w:rsid w:val="00AF4F35"/>
    <w:rsid w:val="00B07A6D"/>
    <w:rsid w:val="00B07BF6"/>
    <w:rsid w:val="00B10252"/>
    <w:rsid w:val="00B110F0"/>
    <w:rsid w:val="00B11DA6"/>
    <w:rsid w:val="00B1208C"/>
    <w:rsid w:val="00B1299F"/>
    <w:rsid w:val="00B13436"/>
    <w:rsid w:val="00B142DB"/>
    <w:rsid w:val="00B15414"/>
    <w:rsid w:val="00B15F28"/>
    <w:rsid w:val="00B1607E"/>
    <w:rsid w:val="00B1632B"/>
    <w:rsid w:val="00B16A54"/>
    <w:rsid w:val="00B16ED5"/>
    <w:rsid w:val="00B21828"/>
    <w:rsid w:val="00B265DF"/>
    <w:rsid w:val="00B30C42"/>
    <w:rsid w:val="00B32B39"/>
    <w:rsid w:val="00B351FB"/>
    <w:rsid w:val="00B3529D"/>
    <w:rsid w:val="00B42805"/>
    <w:rsid w:val="00B46226"/>
    <w:rsid w:val="00B47A69"/>
    <w:rsid w:val="00B522D2"/>
    <w:rsid w:val="00B57155"/>
    <w:rsid w:val="00B579A8"/>
    <w:rsid w:val="00B61A34"/>
    <w:rsid w:val="00B6236B"/>
    <w:rsid w:val="00B65A59"/>
    <w:rsid w:val="00B66E5A"/>
    <w:rsid w:val="00B708ED"/>
    <w:rsid w:val="00B712F1"/>
    <w:rsid w:val="00B77335"/>
    <w:rsid w:val="00B773F0"/>
    <w:rsid w:val="00B82E9E"/>
    <w:rsid w:val="00B84C2E"/>
    <w:rsid w:val="00B865FC"/>
    <w:rsid w:val="00B916A7"/>
    <w:rsid w:val="00B974DA"/>
    <w:rsid w:val="00BA0907"/>
    <w:rsid w:val="00BA28A3"/>
    <w:rsid w:val="00BB357B"/>
    <w:rsid w:val="00BB39B3"/>
    <w:rsid w:val="00BC14FD"/>
    <w:rsid w:val="00BC49B7"/>
    <w:rsid w:val="00BD1BA6"/>
    <w:rsid w:val="00BD5310"/>
    <w:rsid w:val="00BD6249"/>
    <w:rsid w:val="00BD7099"/>
    <w:rsid w:val="00BE6131"/>
    <w:rsid w:val="00BE6A06"/>
    <w:rsid w:val="00BE7DA7"/>
    <w:rsid w:val="00BF1591"/>
    <w:rsid w:val="00C025ED"/>
    <w:rsid w:val="00C04285"/>
    <w:rsid w:val="00C053AA"/>
    <w:rsid w:val="00C17C48"/>
    <w:rsid w:val="00C23D0B"/>
    <w:rsid w:val="00C27F9C"/>
    <w:rsid w:val="00C30F83"/>
    <w:rsid w:val="00C3309F"/>
    <w:rsid w:val="00C3783B"/>
    <w:rsid w:val="00C43D35"/>
    <w:rsid w:val="00C518D2"/>
    <w:rsid w:val="00C53FE3"/>
    <w:rsid w:val="00C570D1"/>
    <w:rsid w:val="00C647BD"/>
    <w:rsid w:val="00C64C91"/>
    <w:rsid w:val="00C6578B"/>
    <w:rsid w:val="00C6608F"/>
    <w:rsid w:val="00C71304"/>
    <w:rsid w:val="00C74ECD"/>
    <w:rsid w:val="00C77A19"/>
    <w:rsid w:val="00C8197B"/>
    <w:rsid w:val="00C8248E"/>
    <w:rsid w:val="00C84E57"/>
    <w:rsid w:val="00C926BD"/>
    <w:rsid w:val="00C927F1"/>
    <w:rsid w:val="00C9560C"/>
    <w:rsid w:val="00C97E82"/>
    <w:rsid w:val="00CA0A29"/>
    <w:rsid w:val="00CA1160"/>
    <w:rsid w:val="00CA2BFE"/>
    <w:rsid w:val="00CA73E3"/>
    <w:rsid w:val="00CB1112"/>
    <w:rsid w:val="00CB64D0"/>
    <w:rsid w:val="00CB72D7"/>
    <w:rsid w:val="00CB751A"/>
    <w:rsid w:val="00CD06AD"/>
    <w:rsid w:val="00CD0F9D"/>
    <w:rsid w:val="00CD2067"/>
    <w:rsid w:val="00CD5211"/>
    <w:rsid w:val="00CD65CB"/>
    <w:rsid w:val="00CD6CF9"/>
    <w:rsid w:val="00CE2284"/>
    <w:rsid w:val="00CE6028"/>
    <w:rsid w:val="00CE641E"/>
    <w:rsid w:val="00CE6CA9"/>
    <w:rsid w:val="00CF0437"/>
    <w:rsid w:val="00CF404A"/>
    <w:rsid w:val="00CF436A"/>
    <w:rsid w:val="00CF54BC"/>
    <w:rsid w:val="00CF5590"/>
    <w:rsid w:val="00D05BB8"/>
    <w:rsid w:val="00D06CD7"/>
    <w:rsid w:val="00D06CDC"/>
    <w:rsid w:val="00D07913"/>
    <w:rsid w:val="00D1010E"/>
    <w:rsid w:val="00D1272D"/>
    <w:rsid w:val="00D1797C"/>
    <w:rsid w:val="00D21CDC"/>
    <w:rsid w:val="00D2214E"/>
    <w:rsid w:val="00D22C31"/>
    <w:rsid w:val="00D256E7"/>
    <w:rsid w:val="00D35153"/>
    <w:rsid w:val="00D3533D"/>
    <w:rsid w:val="00D36A7F"/>
    <w:rsid w:val="00D37B88"/>
    <w:rsid w:val="00D415CA"/>
    <w:rsid w:val="00D42DFA"/>
    <w:rsid w:val="00D47210"/>
    <w:rsid w:val="00D50093"/>
    <w:rsid w:val="00D508A0"/>
    <w:rsid w:val="00D521D0"/>
    <w:rsid w:val="00D567EF"/>
    <w:rsid w:val="00D56B59"/>
    <w:rsid w:val="00D56BEB"/>
    <w:rsid w:val="00D57787"/>
    <w:rsid w:val="00D61E3B"/>
    <w:rsid w:val="00D644DB"/>
    <w:rsid w:val="00D64B53"/>
    <w:rsid w:val="00D64CA1"/>
    <w:rsid w:val="00D66442"/>
    <w:rsid w:val="00D7207E"/>
    <w:rsid w:val="00D728B9"/>
    <w:rsid w:val="00D76B66"/>
    <w:rsid w:val="00D82FC7"/>
    <w:rsid w:val="00D83138"/>
    <w:rsid w:val="00D94E21"/>
    <w:rsid w:val="00D97D70"/>
    <w:rsid w:val="00DA0385"/>
    <w:rsid w:val="00DA3D38"/>
    <w:rsid w:val="00DA523D"/>
    <w:rsid w:val="00DA5676"/>
    <w:rsid w:val="00DB089A"/>
    <w:rsid w:val="00DB0CDE"/>
    <w:rsid w:val="00DB0E8A"/>
    <w:rsid w:val="00DB3321"/>
    <w:rsid w:val="00DB49B0"/>
    <w:rsid w:val="00DB5710"/>
    <w:rsid w:val="00DB6E8D"/>
    <w:rsid w:val="00DB6EB4"/>
    <w:rsid w:val="00DC1082"/>
    <w:rsid w:val="00DC2062"/>
    <w:rsid w:val="00DC550E"/>
    <w:rsid w:val="00DD23A6"/>
    <w:rsid w:val="00DD4E1A"/>
    <w:rsid w:val="00DD4FDC"/>
    <w:rsid w:val="00DD5DD5"/>
    <w:rsid w:val="00DD6489"/>
    <w:rsid w:val="00DE032E"/>
    <w:rsid w:val="00DE2938"/>
    <w:rsid w:val="00DE4B44"/>
    <w:rsid w:val="00DE50C9"/>
    <w:rsid w:val="00DE59D8"/>
    <w:rsid w:val="00DE6471"/>
    <w:rsid w:val="00DF1C65"/>
    <w:rsid w:val="00DF4119"/>
    <w:rsid w:val="00DF7591"/>
    <w:rsid w:val="00DF7966"/>
    <w:rsid w:val="00E00CFB"/>
    <w:rsid w:val="00E03E4A"/>
    <w:rsid w:val="00E04089"/>
    <w:rsid w:val="00E15639"/>
    <w:rsid w:val="00E16C0C"/>
    <w:rsid w:val="00E20BD6"/>
    <w:rsid w:val="00E213DE"/>
    <w:rsid w:val="00E305AA"/>
    <w:rsid w:val="00E30BB3"/>
    <w:rsid w:val="00E310A7"/>
    <w:rsid w:val="00E3223D"/>
    <w:rsid w:val="00E3292E"/>
    <w:rsid w:val="00E3570D"/>
    <w:rsid w:val="00E3733D"/>
    <w:rsid w:val="00E378CF"/>
    <w:rsid w:val="00E420CA"/>
    <w:rsid w:val="00E456CB"/>
    <w:rsid w:val="00E45A24"/>
    <w:rsid w:val="00E47F95"/>
    <w:rsid w:val="00E53628"/>
    <w:rsid w:val="00E57A80"/>
    <w:rsid w:val="00E61B36"/>
    <w:rsid w:val="00E62A39"/>
    <w:rsid w:val="00E62FB4"/>
    <w:rsid w:val="00E64E17"/>
    <w:rsid w:val="00E64F66"/>
    <w:rsid w:val="00E6664D"/>
    <w:rsid w:val="00E66B2B"/>
    <w:rsid w:val="00E677E7"/>
    <w:rsid w:val="00E7007C"/>
    <w:rsid w:val="00E72561"/>
    <w:rsid w:val="00E735E8"/>
    <w:rsid w:val="00E73DF2"/>
    <w:rsid w:val="00E7534B"/>
    <w:rsid w:val="00E76BDB"/>
    <w:rsid w:val="00E77209"/>
    <w:rsid w:val="00E77B28"/>
    <w:rsid w:val="00E80E0E"/>
    <w:rsid w:val="00E83079"/>
    <w:rsid w:val="00E842A9"/>
    <w:rsid w:val="00E85281"/>
    <w:rsid w:val="00E918CB"/>
    <w:rsid w:val="00E938B8"/>
    <w:rsid w:val="00E93C1F"/>
    <w:rsid w:val="00E95684"/>
    <w:rsid w:val="00E96B4B"/>
    <w:rsid w:val="00EA1E03"/>
    <w:rsid w:val="00EB16E3"/>
    <w:rsid w:val="00EB314E"/>
    <w:rsid w:val="00EB3562"/>
    <w:rsid w:val="00EB3F81"/>
    <w:rsid w:val="00EB4896"/>
    <w:rsid w:val="00EB4E5F"/>
    <w:rsid w:val="00EB6F32"/>
    <w:rsid w:val="00EB72C2"/>
    <w:rsid w:val="00EB7F25"/>
    <w:rsid w:val="00EC106E"/>
    <w:rsid w:val="00EC1B6E"/>
    <w:rsid w:val="00EC43B2"/>
    <w:rsid w:val="00EC57EC"/>
    <w:rsid w:val="00EC6FB5"/>
    <w:rsid w:val="00ED0034"/>
    <w:rsid w:val="00EE057B"/>
    <w:rsid w:val="00EE1A4E"/>
    <w:rsid w:val="00EE28AC"/>
    <w:rsid w:val="00EE6D63"/>
    <w:rsid w:val="00EF1ED0"/>
    <w:rsid w:val="00EF36CB"/>
    <w:rsid w:val="00EF36F6"/>
    <w:rsid w:val="00EF4FF5"/>
    <w:rsid w:val="00F01322"/>
    <w:rsid w:val="00F01CF1"/>
    <w:rsid w:val="00F02CE9"/>
    <w:rsid w:val="00F0754F"/>
    <w:rsid w:val="00F1554C"/>
    <w:rsid w:val="00F202D0"/>
    <w:rsid w:val="00F225A6"/>
    <w:rsid w:val="00F230A5"/>
    <w:rsid w:val="00F2325F"/>
    <w:rsid w:val="00F23588"/>
    <w:rsid w:val="00F24930"/>
    <w:rsid w:val="00F25064"/>
    <w:rsid w:val="00F26678"/>
    <w:rsid w:val="00F27D5D"/>
    <w:rsid w:val="00F3025F"/>
    <w:rsid w:val="00F31D6D"/>
    <w:rsid w:val="00F34D86"/>
    <w:rsid w:val="00F36D4F"/>
    <w:rsid w:val="00F41531"/>
    <w:rsid w:val="00F42569"/>
    <w:rsid w:val="00F45BFA"/>
    <w:rsid w:val="00F46B0F"/>
    <w:rsid w:val="00F511E4"/>
    <w:rsid w:val="00F52322"/>
    <w:rsid w:val="00F536A3"/>
    <w:rsid w:val="00F624DE"/>
    <w:rsid w:val="00F642B3"/>
    <w:rsid w:val="00F6624B"/>
    <w:rsid w:val="00F76AA1"/>
    <w:rsid w:val="00F7707A"/>
    <w:rsid w:val="00F77D1B"/>
    <w:rsid w:val="00F800BC"/>
    <w:rsid w:val="00F8462E"/>
    <w:rsid w:val="00F85B77"/>
    <w:rsid w:val="00F869FC"/>
    <w:rsid w:val="00F86C12"/>
    <w:rsid w:val="00F94D68"/>
    <w:rsid w:val="00FA574B"/>
    <w:rsid w:val="00FA73D4"/>
    <w:rsid w:val="00FB4F63"/>
    <w:rsid w:val="00FB7B95"/>
    <w:rsid w:val="00FC2912"/>
    <w:rsid w:val="00FC2A48"/>
    <w:rsid w:val="00FC6224"/>
    <w:rsid w:val="00FD4D33"/>
    <w:rsid w:val="00FD58FE"/>
    <w:rsid w:val="00FE2FC9"/>
    <w:rsid w:val="00FE486C"/>
    <w:rsid w:val="00FE7832"/>
    <w:rsid w:val="00FF110E"/>
    <w:rsid w:val="00FF2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5AF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32"/>
    <w:pPr>
      <w:spacing w:line="480"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andard">
    <w:name w:val="Standard"/>
    <w:uiPriority w:val="99"/>
    <w:rsid w:val="00E04089"/>
    <w:pPr>
      <w:numPr>
        <w:numId w:val="1"/>
      </w:numPr>
    </w:pPr>
  </w:style>
  <w:style w:type="table" w:customStyle="1" w:styleId="TableGrid1">
    <w:name w:val="Table Grid1"/>
    <w:basedOn w:val="TableNormal"/>
    <w:uiPriority w:val="59"/>
    <w:rsid w:val="005D1A32"/>
    <w:pPr>
      <w:jc w:val="left"/>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D1A32"/>
    <w:pPr>
      <w:ind w:left="720"/>
      <w:contextualSpacing/>
    </w:pPr>
  </w:style>
  <w:style w:type="paragraph" w:styleId="Header">
    <w:name w:val="header"/>
    <w:basedOn w:val="Normal"/>
    <w:link w:val="HeaderChar"/>
    <w:uiPriority w:val="99"/>
    <w:unhideWhenUsed/>
    <w:rsid w:val="005D1A32"/>
    <w:pPr>
      <w:tabs>
        <w:tab w:val="center" w:pos="4680"/>
        <w:tab w:val="right" w:pos="9360"/>
      </w:tabs>
      <w:spacing w:line="240" w:lineRule="auto"/>
    </w:pPr>
  </w:style>
  <w:style w:type="character" w:customStyle="1" w:styleId="HeaderChar">
    <w:name w:val="Header Char"/>
    <w:basedOn w:val="DefaultParagraphFont"/>
    <w:link w:val="Header"/>
    <w:uiPriority w:val="99"/>
    <w:rsid w:val="005D1A32"/>
  </w:style>
  <w:style w:type="numbering" w:customStyle="1" w:styleId="LegalWritingHeadingsTemplate">
    <w:name w:val="Legal Writing Headings Template"/>
    <w:uiPriority w:val="99"/>
    <w:rsid w:val="005D1A32"/>
    <w:pPr>
      <w:numPr>
        <w:numId w:val="6"/>
      </w:numPr>
    </w:pPr>
  </w:style>
  <w:style w:type="character" w:styleId="Hyperlink">
    <w:name w:val="Hyperlink"/>
    <w:basedOn w:val="DefaultParagraphFont"/>
    <w:uiPriority w:val="99"/>
    <w:unhideWhenUsed/>
    <w:rsid w:val="00BE6131"/>
    <w:rPr>
      <w:color w:val="0000FF" w:themeColor="hyperlink"/>
      <w:u w:val="single"/>
    </w:rPr>
  </w:style>
  <w:style w:type="paragraph" w:styleId="CommentText">
    <w:name w:val="annotation text"/>
    <w:basedOn w:val="Normal"/>
    <w:link w:val="CommentTextChar"/>
    <w:uiPriority w:val="99"/>
    <w:semiHidden/>
    <w:unhideWhenUsed/>
    <w:rsid w:val="00147786"/>
    <w:rPr>
      <w:rFonts w:eastAsia="Calibri" w:cs="Times New Roman"/>
      <w:sz w:val="20"/>
      <w:szCs w:val="20"/>
    </w:rPr>
  </w:style>
  <w:style w:type="character" w:customStyle="1" w:styleId="CommentTextChar">
    <w:name w:val="Comment Text Char"/>
    <w:basedOn w:val="DefaultParagraphFont"/>
    <w:link w:val="CommentText"/>
    <w:uiPriority w:val="99"/>
    <w:semiHidden/>
    <w:rsid w:val="00147786"/>
    <w:rPr>
      <w:rFonts w:eastAsia="Calibri" w:cs="Times New Roman"/>
      <w:sz w:val="20"/>
      <w:szCs w:val="20"/>
    </w:rPr>
  </w:style>
  <w:style w:type="character" w:styleId="CommentReference">
    <w:name w:val="annotation reference"/>
    <w:basedOn w:val="DefaultParagraphFont"/>
    <w:uiPriority w:val="99"/>
    <w:semiHidden/>
    <w:unhideWhenUsed/>
    <w:rsid w:val="00147786"/>
    <w:rPr>
      <w:rFonts w:ascii="Times New Roman" w:hAnsi="Times New Roman" w:cs="Times New Roman" w:hint="default"/>
      <w:sz w:val="16"/>
      <w:szCs w:val="16"/>
    </w:rPr>
  </w:style>
  <w:style w:type="paragraph" w:styleId="BalloonText">
    <w:name w:val="Balloon Text"/>
    <w:basedOn w:val="Normal"/>
    <w:link w:val="BalloonTextChar"/>
    <w:uiPriority w:val="99"/>
    <w:semiHidden/>
    <w:unhideWhenUsed/>
    <w:rsid w:val="001477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786"/>
    <w:rPr>
      <w:rFonts w:ascii="Tahoma" w:hAnsi="Tahoma" w:cs="Tahoma"/>
      <w:sz w:val="16"/>
      <w:szCs w:val="16"/>
    </w:rPr>
  </w:style>
  <w:style w:type="character" w:styleId="FollowedHyperlink">
    <w:name w:val="FollowedHyperlink"/>
    <w:basedOn w:val="DefaultParagraphFont"/>
    <w:uiPriority w:val="99"/>
    <w:semiHidden/>
    <w:unhideWhenUsed/>
    <w:rsid w:val="0014229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32"/>
    <w:pPr>
      <w:spacing w:line="480"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andard">
    <w:name w:val="Standard"/>
    <w:uiPriority w:val="99"/>
    <w:rsid w:val="00E04089"/>
    <w:pPr>
      <w:numPr>
        <w:numId w:val="1"/>
      </w:numPr>
    </w:pPr>
  </w:style>
  <w:style w:type="table" w:customStyle="1" w:styleId="TableGrid1">
    <w:name w:val="Table Grid1"/>
    <w:basedOn w:val="TableNormal"/>
    <w:uiPriority w:val="59"/>
    <w:rsid w:val="005D1A32"/>
    <w:pPr>
      <w:jc w:val="left"/>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D1A32"/>
    <w:pPr>
      <w:ind w:left="720"/>
      <w:contextualSpacing/>
    </w:pPr>
  </w:style>
  <w:style w:type="paragraph" w:styleId="Header">
    <w:name w:val="header"/>
    <w:basedOn w:val="Normal"/>
    <w:link w:val="HeaderChar"/>
    <w:uiPriority w:val="99"/>
    <w:unhideWhenUsed/>
    <w:rsid w:val="005D1A32"/>
    <w:pPr>
      <w:tabs>
        <w:tab w:val="center" w:pos="4680"/>
        <w:tab w:val="right" w:pos="9360"/>
      </w:tabs>
      <w:spacing w:line="240" w:lineRule="auto"/>
    </w:pPr>
  </w:style>
  <w:style w:type="character" w:customStyle="1" w:styleId="HeaderChar">
    <w:name w:val="Header Char"/>
    <w:basedOn w:val="DefaultParagraphFont"/>
    <w:link w:val="Header"/>
    <w:uiPriority w:val="99"/>
    <w:rsid w:val="005D1A32"/>
  </w:style>
  <w:style w:type="numbering" w:customStyle="1" w:styleId="LegalWritingHeadingsTemplate">
    <w:name w:val="Legal Writing Headings Template"/>
    <w:uiPriority w:val="99"/>
    <w:rsid w:val="005D1A32"/>
    <w:pPr>
      <w:numPr>
        <w:numId w:val="6"/>
      </w:numPr>
    </w:pPr>
  </w:style>
  <w:style w:type="character" w:styleId="Hyperlink">
    <w:name w:val="Hyperlink"/>
    <w:basedOn w:val="DefaultParagraphFont"/>
    <w:uiPriority w:val="99"/>
    <w:unhideWhenUsed/>
    <w:rsid w:val="00BE6131"/>
    <w:rPr>
      <w:color w:val="0000FF" w:themeColor="hyperlink"/>
      <w:u w:val="single"/>
    </w:rPr>
  </w:style>
  <w:style w:type="paragraph" w:styleId="CommentText">
    <w:name w:val="annotation text"/>
    <w:basedOn w:val="Normal"/>
    <w:link w:val="CommentTextChar"/>
    <w:uiPriority w:val="99"/>
    <w:semiHidden/>
    <w:unhideWhenUsed/>
    <w:rsid w:val="00147786"/>
    <w:rPr>
      <w:rFonts w:eastAsia="Calibri" w:cs="Times New Roman"/>
      <w:sz w:val="20"/>
      <w:szCs w:val="20"/>
    </w:rPr>
  </w:style>
  <w:style w:type="character" w:customStyle="1" w:styleId="CommentTextChar">
    <w:name w:val="Comment Text Char"/>
    <w:basedOn w:val="DefaultParagraphFont"/>
    <w:link w:val="CommentText"/>
    <w:uiPriority w:val="99"/>
    <w:semiHidden/>
    <w:rsid w:val="00147786"/>
    <w:rPr>
      <w:rFonts w:eastAsia="Calibri" w:cs="Times New Roman"/>
      <w:sz w:val="20"/>
      <w:szCs w:val="20"/>
    </w:rPr>
  </w:style>
  <w:style w:type="character" w:styleId="CommentReference">
    <w:name w:val="annotation reference"/>
    <w:basedOn w:val="DefaultParagraphFont"/>
    <w:uiPriority w:val="99"/>
    <w:semiHidden/>
    <w:unhideWhenUsed/>
    <w:rsid w:val="00147786"/>
    <w:rPr>
      <w:rFonts w:ascii="Times New Roman" w:hAnsi="Times New Roman" w:cs="Times New Roman" w:hint="default"/>
      <w:sz w:val="16"/>
      <w:szCs w:val="16"/>
    </w:rPr>
  </w:style>
  <w:style w:type="paragraph" w:styleId="BalloonText">
    <w:name w:val="Balloon Text"/>
    <w:basedOn w:val="Normal"/>
    <w:link w:val="BalloonTextChar"/>
    <w:uiPriority w:val="99"/>
    <w:semiHidden/>
    <w:unhideWhenUsed/>
    <w:rsid w:val="001477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786"/>
    <w:rPr>
      <w:rFonts w:ascii="Tahoma" w:hAnsi="Tahoma" w:cs="Tahoma"/>
      <w:sz w:val="16"/>
      <w:szCs w:val="16"/>
    </w:rPr>
  </w:style>
  <w:style w:type="character" w:styleId="FollowedHyperlink">
    <w:name w:val="FollowedHyperlink"/>
    <w:basedOn w:val="DefaultParagraphFont"/>
    <w:uiPriority w:val="99"/>
    <w:semiHidden/>
    <w:unhideWhenUsed/>
    <w:rsid w:val="001422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6513">
      <w:bodyDiv w:val="1"/>
      <w:marLeft w:val="0"/>
      <w:marRight w:val="0"/>
      <w:marTop w:val="0"/>
      <w:marBottom w:val="0"/>
      <w:divBdr>
        <w:top w:val="none" w:sz="0" w:space="0" w:color="auto"/>
        <w:left w:val="none" w:sz="0" w:space="0" w:color="auto"/>
        <w:bottom w:val="none" w:sz="0" w:space="0" w:color="auto"/>
        <w:right w:val="none" w:sz="0" w:space="0" w:color="auto"/>
      </w:divBdr>
      <w:divsChild>
        <w:div w:id="692263905">
          <w:marLeft w:val="0"/>
          <w:marRight w:val="0"/>
          <w:marTop w:val="0"/>
          <w:marBottom w:val="0"/>
          <w:divBdr>
            <w:top w:val="none" w:sz="0" w:space="0" w:color="auto"/>
            <w:left w:val="none" w:sz="0" w:space="0" w:color="auto"/>
            <w:bottom w:val="none" w:sz="0" w:space="0" w:color="auto"/>
            <w:right w:val="none" w:sz="0" w:space="0" w:color="auto"/>
          </w:divBdr>
          <w:divsChild>
            <w:div w:id="14441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7363">
      <w:bodyDiv w:val="1"/>
      <w:marLeft w:val="0"/>
      <w:marRight w:val="0"/>
      <w:marTop w:val="0"/>
      <w:marBottom w:val="0"/>
      <w:divBdr>
        <w:top w:val="none" w:sz="0" w:space="0" w:color="auto"/>
        <w:left w:val="none" w:sz="0" w:space="0" w:color="auto"/>
        <w:bottom w:val="none" w:sz="0" w:space="0" w:color="auto"/>
        <w:right w:val="none" w:sz="0" w:space="0" w:color="auto"/>
      </w:divBdr>
      <w:divsChild>
        <w:div w:id="1708749512">
          <w:marLeft w:val="0"/>
          <w:marRight w:val="0"/>
          <w:marTop w:val="0"/>
          <w:marBottom w:val="0"/>
          <w:divBdr>
            <w:top w:val="none" w:sz="0" w:space="0" w:color="auto"/>
            <w:left w:val="none" w:sz="0" w:space="0" w:color="auto"/>
            <w:bottom w:val="none" w:sz="0" w:space="0" w:color="auto"/>
            <w:right w:val="none" w:sz="0" w:space="0" w:color="auto"/>
          </w:divBdr>
          <w:divsChild>
            <w:div w:id="197724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082">
      <w:bodyDiv w:val="1"/>
      <w:marLeft w:val="0"/>
      <w:marRight w:val="0"/>
      <w:marTop w:val="0"/>
      <w:marBottom w:val="0"/>
      <w:divBdr>
        <w:top w:val="none" w:sz="0" w:space="0" w:color="auto"/>
        <w:left w:val="none" w:sz="0" w:space="0" w:color="auto"/>
        <w:bottom w:val="none" w:sz="0" w:space="0" w:color="auto"/>
        <w:right w:val="none" w:sz="0" w:space="0" w:color="auto"/>
      </w:divBdr>
      <w:divsChild>
        <w:div w:id="1343623053">
          <w:marLeft w:val="0"/>
          <w:marRight w:val="0"/>
          <w:marTop w:val="0"/>
          <w:marBottom w:val="0"/>
          <w:divBdr>
            <w:top w:val="none" w:sz="0" w:space="0" w:color="auto"/>
            <w:left w:val="none" w:sz="0" w:space="0" w:color="auto"/>
            <w:bottom w:val="none" w:sz="0" w:space="0" w:color="auto"/>
            <w:right w:val="none" w:sz="0" w:space="0" w:color="auto"/>
          </w:divBdr>
          <w:divsChild>
            <w:div w:id="13456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657446">
      <w:bodyDiv w:val="1"/>
      <w:marLeft w:val="0"/>
      <w:marRight w:val="0"/>
      <w:marTop w:val="0"/>
      <w:marBottom w:val="0"/>
      <w:divBdr>
        <w:top w:val="none" w:sz="0" w:space="0" w:color="auto"/>
        <w:left w:val="none" w:sz="0" w:space="0" w:color="auto"/>
        <w:bottom w:val="none" w:sz="0" w:space="0" w:color="auto"/>
        <w:right w:val="none" w:sz="0" w:space="0" w:color="auto"/>
      </w:divBdr>
    </w:div>
    <w:div w:id="1219852936">
      <w:bodyDiv w:val="1"/>
      <w:marLeft w:val="0"/>
      <w:marRight w:val="0"/>
      <w:marTop w:val="0"/>
      <w:marBottom w:val="0"/>
      <w:divBdr>
        <w:top w:val="none" w:sz="0" w:space="0" w:color="auto"/>
        <w:left w:val="none" w:sz="0" w:space="0" w:color="auto"/>
        <w:bottom w:val="none" w:sz="0" w:space="0" w:color="auto"/>
        <w:right w:val="none" w:sz="0" w:space="0" w:color="auto"/>
      </w:divBdr>
      <w:divsChild>
        <w:div w:id="1375424546">
          <w:marLeft w:val="0"/>
          <w:marRight w:val="0"/>
          <w:marTop w:val="0"/>
          <w:marBottom w:val="0"/>
          <w:divBdr>
            <w:top w:val="none" w:sz="0" w:space="0" w:color="auto"/>
            <w:left w:val="none" w:sz="0" w:space="0" w:color="auto"/>
            <w:bottom w:val="none" w:sz="0" w:space="0" w:color="auto"/>
            <w:right w:val="none" w:sz="0" w:space="0" w:color="auto"/>
          </w:divBdr>
          <w:divsChild>
            <w:div w:id="197934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50790">
      <w:bodyDiv w:val="1"/>
      <w:marLeft w:val="0"/>
      <w:marRight w:val="0"/>
      <w:marTop w:val="0"/>
      <w:marBottom w:val="0"/>
      <w:divBdr>
        <w:top w:val="none" w:sz="0" w:space="0" w:color="auto"/>
        <w:left w:val="none" w:sz="0" w:space="0" w:color="auto"/>
        <w:bottom w:val="none" w:sz="0" w:space="0" w:color="auto"/>
        <w:right w:val="none" w:sz="0" w:space="0" w:color="auto"/>
      </w:divBdr>
      <w:divsChild>
        <w:div w:id="1831940088">
          <w:marLeft w:val="0"/>
          <w:marRight w:val="0"/>
          <w:marTop w:val="0"/>
          <w:marBottom w:val="0"/>
          <w:divBdr>
            <w:top w:val="none" w:sz="0" w:space="0" w:color="auto"/>
            <w:left w:val="none" w:sz="0" w:space="0" w:color="auto"/>
            <w:bottom w:val="none" w:sz="0" w:space="0" w:color="auto"/>
            <w:right w:val="none" w:sz="0" w:space="0" w:color="auto"/>
          </w:divBdr>
          <w:divsChild>
            <w:div w:id="148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7157">
      <w:bodyDiv w:val="1"/>
      <w:marLeft w:val="0"/>
      <w:marRight w:val="0"/>
      <w:marTop w:val="0"/>
      <w:marBottom w:val="0"/>
      <w:divBdr>
        <w:top w:val="none" w:sz="0" w:space="0" w:color="auto"/>
        <w:left w:val="none" w:sz="0" w:space="0" w:color="auto"/>
        <w:bottom w:val="none" w:sz="0" w:space="0" w:color="auto"/>
        <w:right w:val="none" w:sz="0" w:space="0" w:color="auto"/>
      </w:divBdr>
      <w:divsChild>
        <w:div w:id="1104232702">
          <w:marLeft w:val="0"/>
          <w:marRight w:val="0"/>
          <w:marTop w:val="0"/>
          <w:marBottom w:val="0"/>
          <w:divBdr>
            <w:top w:val="none" w:sz="0" w:space="0" w:color="auto"/>
            <w:left w:val="none" w:sz="0" w:space="0" w:color="auto"/>
            <w:bottom w:val="none" w:sz="0" w:space="0" w:color="auto"/>
            <w:right w:val="none" w:sz="0" w:space="0" w:color="auto"/>
          </w:divBdr>
          <w:divsChild>
            <w:div w:id="35372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59766">
      <w:bodyDiv w:val="1"/>
      <w:marLeft w:val="0"/>
      <w:marRight w:val="0"/>
      <w:marTop w:val="0"/>
      <w:marBottom w:val="0"/>
      <w:divBdr>
        <w:top w:val="none" w:sz="0" w:space="0" w:color="auto"/>
        <w:left w:val="none" w:sz="0" w:space="0" w:color="auto"/>
        <w:bottom w:val="none" w:sz="0" w:space="0" w:color="auto"/>
        <w:right w:val="none" w:sz="0" w:space="0" w:color="auto"/>
      </w:divBdr>
      <w:divsChild>
        <w:div w:id="116724329">
          <w:marLeft w:val="0"/>
          <w:marRight w:val="0"/>
          <w:marTop w:val="0"/>
          <w:marBottom w:val="0"/>
          <w:divBdr>
            <w:top w:val="none" w:sz="0" w:space="0" w:color="auto"/>
            <w:left w:val="none" w:sz="0" w:space="0" w:color="auto"/>
            <w:bottom w:val="none" w:sz="0" w:space="0" w:color="auto"/>
            <w:right w:val="none" w:sz="0" w:space="0" w:color="auto"/>
          </w:divBdr>
          <w:divsChild>
            <w:div w:id="11182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382222">
      <w:bodyDiv w:val="1"/>
      <w:marLeft w:val="0"/>
      <w:marRight w:val="0"/>
      <w:marTop w:val="0"/>
      <w:marBottom w:val="0"/>
      <w:divBdr>
        <w:top w:val="none" w:sz="0" w:space="0" w:color="auto"/>
        <w:left w:val="none" w:sz="0" w:space="0" w:color="auto"/>
        <w:bottom w:val="none" w:sz="0" w:space="0" w:color="auto"/>
        <w:right w:val="none" w:sz="0" w:space="0" w:color="auto"/>
      </w:divBdr>
      <w:divsChild>
        <w:div w:id="1438908515">
          <w:marLeft w:val="0"/>
          <w:marRight w:val="0"/>
          <w:marTop w:val="0"/>
          <w:marBottom w:val="0"/>
          <w:divBdr>
            <w:top w:val="none" w:sz="0" w:space="0" w:color="auto"/>
            <w:left w:val="none" w:sz="0" w:space="0" w:color="auto"/>
            <w:bottom w:val="none" w:sz="0" w:space="0" w:color="auto"/>
            <w:right w:val="none" w:sz="0" w:space="0" w:color="auto"/>
          </w:divBdr>
          <w:divsChild>
            <w:div w:id="131452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04884">
      <w:bodyDiv w:val="1"/>
      <w:marLeft w:val="0"/>
      <w:marRight w:val="0"/>
      <w:marTop w:val="0"/>
      <w:marBottom w:val="0"/>
      <w:divBdr>
        <w:top w:val="none" w:sz="0" w:space="0" w:color="auto"/>
        <w:left w:val="none" w:sz="0" w:space="0" w:color="auto"/>
        <w:bottom w:val="none" w:sz="0" w:space="0" w:color="auto"/>
        <w:right w:val="none" w:sz="0" w:space="0" w:color="auto"/>
      </w:divBdr>
    </w:div>
    <w:div w:id="1961916204">
      <w:bodyDiv w:val="1"/>
      <w:marLeft w:val="0"/>
      <w:marRight w:val="0"/>
      <w:marTop w:val="0"/>
      <w:marBottom w:val="0"/>
      <w:divBdr>
        <w:top w:val="none" w:sz="0" w:space="0" w:color="auto"/>
        <w:left w:val="none" w:sz="0" w:space="0" w:color="auto"/>
        <w:bottom w:val="none" w:sz="0" w:space="0" w:color="auto"/>
        <w:right w:val="none" w:sz="0" w:space="0" w:color="auto"/>
      </w:divBdr>
      <w:divsChild>
        <w:div w:id="894193716">
          <w:marLeft w:val="0"/>
          <w:marRight w:val="0"/>
          <w:marTop w:val="0"/>
          <w:marBottom w:val="0"/>
          <w:divBdr>
            <w:top w:val="none" w:sz="0" w:space="0" w:color="auto"/>
            <w:left w:val="none" w:sz="0" w:space="0" w:color="auto"/>
            <w:bottom w:val="none" w:sz="0" w:space="0" w:color="auto"/>
            <w:right w:val="none" w:sz="0" w:space="0" w:color="auto"/>
          </w:divBdr>
          <w:divsChild>
            <w:div w:id="15725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oed.com/view/Entry/230216" TargetMode="External"/><Relationship Id="rId9" Type="http://schemas.openxmlformats.org/officeDocument/2006/relationships/hyperlink" Target="http://oed.com/view/Entry/150448%20"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4737</Words>
  <Characters>25154</Characters>
  <Application>Microsoft Macintosh Word</Application>
  <DocSecurity>0</DocSecurity>
  <Lines>393</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2012-03-01T13:52:00Z</cp:lastPrinted>
  <dcterms:created xsi:type="dcterms:W3CDTF">2012-04-11T01:50:00Z</dcterms:created>
  <dcterms:modified xsi:type="dcterms:W3CDTF">2012-06-01T20:49:00Z</dcterms:modified>
  <cp:category/>
</cp:coreProperties>
</file>